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00"/>
      </w:pPr>
      <w:r>
        <w:t xml:space="preserve"/>
      </w:r>
    </w:p>
    <w:p>
      <w:pPr>
        <w:spacing w:after="160" w:before="0"/>
        <w:jc w:val="center"/>
      </w:pPr>
      <w:r>
        <w:rPr>
          <w:rFonts w:ascii="Arial" w:cs="Arial" w:eastAsia="Arial" w:hAnsi="Arial"/>
          <w:b/>
          <w:bCs/>
          <w:color w:val="2E5FA3"/>
          <w:spacing w:val="80"/>
          <w:sz w:val="20"/>
          <w:szCs w:val="20"/>
        </w:rPr>
        <w:t xml:space="preserve">THE HOFFMAN LENSES INITIATIVE</w:t>
      </w:r>
    </w:p>
    <w:p>
      <w:pPr>
        <w:spacing w:after="120" w:before="0"/>
        <w:jc w:val="center"/>
      </w:pPr>
      <w:r>
        <w:rPr>
          <w:rFonts w:ascii="Arial" w:cs="Arial" w:eastAsia="Arial" w:hAnsi="Arial"/>
          <w:b/>
          <w:bCs/>
          <w:color w:val="1B3A6B"/>
          <w:sz w:val="52"/>
          <w:szCs w:val="52"/>
        </w:rPr>
        <w:t xml:space="preserve">The Algorithm and the Child</w:t>
      </w:r>
    </w:p>
    <w:p>
      <w:pPr>
        <w:spacing w:after="400" w:before="0"/>
        <w:jc w:val="center"/>
      </w:pPr>
      <w:r>
        <w:rPr>
          <w:rFonts w:ascii="Arial" w:cs="Arial" w:eastAsia="Arial" w:hAnsi="Arial"/>
          <w:i/>
          <w:iCs/>
          <w:color w:val="555555"/>
          <w:sz w:val="26"/>
          <w:szCs w:val="26"/>
        </w:rPr>
        <w:t xml:space="preserve">A Human Rights Case for Abolishing Behavioral Manipulation Systems</w:t>
      </w:r>
    </w:p>
    <w:p>
      <w:pPr>
        <w:pBdr>
          <w:bottom w:val="single" w:color="2E5FA3" w:sz="6" w:space="1"/>
        </w:pBdr>
        <w:spacing w:after="80" w:before="80"/>
      </w:pPr>
      <w:r>
        <w:t xml:space="preserve"/>
      </w:r>
    </w:p>
    <w:p>
      <w:pPr>
        <w:spacing w:after="0" w:before="200"/>
      </w:pPr>
      <w:r>
        <w:t xml:space="preserve"/>
      </w:r>
    </w:p>
    <w:p>
      <w:pPr>
        <w:spacing w:after="80" w:before="0"/>
        <w:jc w:val="center"/>
      </w:pPr>
      <w:r>
        <w:rPr>
          <w:rFonts w:ascii="Arial" w:cs="Arial" w:eastAsia="Arial" w:hAnsi="Arial"/>
          <w:color w:val="888888"/>
          <w:sz w:val="20"/>
          <w:szCs w:val="20"/>
        </w:rPr>
        <w:t xml:space="preserve">Published March 2026  ·  hoffmanlenses.org</w:t>
      </w:r>
    </w:p>
    <w:p>
      <w:pPr>
        <w:spacing w:after="0" w:before="0"/>
        <w:jc w:val="center"/>
      </w:pPr>
      <w:r>
        <w:rPr>
          <w:rFonts w:ascii="Arial" w:cs="Arial" w:eastAsia="Arial" w:hAnsi="Arial"/>
          <w:color w:val="888888"/>
          <w:sz w:val="20"/>
          <w:szCs w:val="20"/>
        </w:rPr>
        <w:t xml:space="preserve">Released under Creative Commons CC BY 4.0 — reproduce, distribute, and share freely</w:t>
      </w:r>
    </w:p>
    <w:p>
      <w:r>
        <w:br w:type="page"/>
      </w:r>
    </w:p>
    <w:p>
      <w:pPr>
        <w:spacing w:after="60" w:before="320"/>
      </w:pPr>
      <w:r>
        <w:rPr>
          <w:rFonts w:ascii="Arial" w:cs="Arial" w:eastAsia="Arial" w:hAnsi="Arial"/>
          <w:b/>
          <w:bCs/>
          <w:color w:val="2E5FA3"/>
          <w:sz w:val="18"/>
          <w:szCs w:val="18"/>
        </w:rPr>
        <w:t xml:space="preserve">DEDICATION</w:t>
      </w:r>
    </w:p>
    <w:p>
      <w:pPr>
        <w:pStyle w:val="Heading1"/>
        <w:spacing w:after="160" w:before="240"/>
      </w:pPr>
      <w:r>
        <w:rPr>
          <w:rFonts w:ascii="Arial" w:cs="Arial" w:eastAsia="Arial" w:hAnsi="Arial"/>
          <w:b/>
          <w:bCs/>
          <w:color w:val="1B3A6B"/>
          <w:sz w:val="36"/>
          <w:szCs w:val="36"/>
        </w:rPr>
        <w:t xml:space="preserve">In Memory</w:t>
      </w:r>
    </w:p>
    <w:p>
      <w:pPr>
        <w:spacing w:after="140" w:before="100"/>
        <w:jc w:val="left"/>
      </w:pPr>
      <w:r>
        <w:rPr>
          <w:rFonts w:ascii="Arial" w:cs="Arial" w:eastAsia="Arial" w:hAnsi="Arial"/>
          <w:b/>
          <w:bCs/>
          <w:i w:val="false"/>
          <w:iCs w:val="false"/>
          <w:color w:val="1A1A1A"/>
          <w:sz w:val="22"/>
          <w:szCs w:val="22"/>
        </w:rPr>
        <w:t xml:space="preserve">This document is dedicated to the children killed by algorithmic violence.</w:t>
      </w:r>
    </w:p>
    <w:p>
      <w:pPr>
        <w:spacing w:after="0" w:before="80"/>
      </w:pPr>
      <w:r>
        <w:t xml:space="preserve"/>
      </w:r>
    </w:p>
    <w:p>
      <w:pPr>
        <w:spacing w:after="140" w:before="100"/>
      </w:pPr>
      <w:r>
        <w:rPr>
          <w:rFonts w:ascii="Arial" w:cs="Arial" w:eastAsia="Arial" w:hAnsi="Arial"/>
          <w:b/>
          <w:bCs/>
          <w:i w:val="false"/>
          <w:iCs w:val="false"/>
          <w:color w:val="C0392B"/>
          <w:sz w:val="22"/>
          <w:szCs w:val="22"/>
        </w:rPr>
        <w:t xml:space="preserve">JackLynn Blackwell, age 9  ·  Stephenville, Texas</w:t>
      </w:r>
    </w:p>
    <w:p>
      <w:pPr>
        <w:spacing w:after="140" w:before="100"/>
        <w:jc w:val="left"/>
      </w:pPr>
      <w:r>
        <w:rPr>
          <w:rFonts w:ascii="Arial" w:cs="Arial" w:eastAsia="Arial" w:hAnsi="Arial"/>
          <w:b w:val="false"/>
          <w:bCs w:val="false"/>
          <w:i/>
          <w:iCs/>
          <w:color w:val="1A1A1A"/>
          <w:sz w:val="22"/>
          <w:szCs w:val="22"/>
        </w:rPr>
        <w:t xml:space="preserve">Died February 3, 2026. Found by her father in their backyard, a cord around her neck. She had been served a choking challenge video by an algorithm. She loved karaoke. She wanted to be a star.</w:t>
      </w:r>
    </w:p>
    <w:p>
      <w:pPr>
        <w:spacing w:after="0" w:before="60"/>
      </w:pPr>
      <w:r>
        <w:t xml:space="preserve"/>
      </w:r>
    </w:p>
    <w:p>
      <w:pPr>
        <w:spacing w:after="140" w:before="100"/>
      </w:pPr>
      <w:r>
        <w:rPr>
          <w:rFonts w:ascii="Arial" w:cs="Arial" w:eastAsia="Arial" w:hAnsi="Arial"/>
          <w:b/>
          <w:bCs/>
          <w:i w:val="false"/>
          <w:iCs w:val="false"/>
          <w:color w:val="C0392B"/>
          <w:sz w:val="22"/>
          <w:szCs w:val="22"/>
        </w:rPr>
        <w:t xml:space="preserve">Molly Russell, age 14  ·  London, United Kingdom</w:t>
      </w:r>
    </w:p>
    <w:p>
      <w:pPr>
        <w:spacing w:after="140" w:before="100"/>
        <w:jc w:val="left"/>
      </w:pPr>
      <w:r>
        <w:rPr>
          <w:rFonts w:ascii="Arial" w:cs="Arial" w:eastAsia="Arial" w:hAnsi="Arial"/>
          <w:b w:val="false"/>
          <w:bCs w:val="false"/>
          <w:i/>
          <w:iCs/>
          <w:color w:val="1A1A1A"/>
          <w:sz w:val="22"/>
          <w:szCs w:val="22"/>
        </w:rPr>
        <w:t xml:space="preserve">Died November 2017. A coroner formally ruled that content an algorithm chose for her — content she never requested — contributed to her death. It was the first time in history a child’s death was officially attributed to algorithmic violence.</w:t>
      </w:r>
    </w:p>
    <w:p>
      <w:pPr>
        <w:spacing w:after="0" w:before="60"/>
      </w:pPr>
      <w:r>
        <w:t xml:space="preserve"/>
      </w:r>
    </w:p>
    <w:p>
      <w:pPr>
        <w:spacing w:after="140" w:before="100"/>
      </w:pPr>
      <w:r>
        <w:rPr>
          <w:rFonts w:ascii="Arial" w:cs="Arial" w:eastAsia="Arial" w:hAnsi="Arial"/>
          <w:b/>
          <w:bCs/>
          <w:i w:val="false"/>
          <w:iCs w:val="false"/>
          <w:color w:val="C0392B"/>
          <w:sz w:val="22"/>
          <w:szCs w:val="22"/>
        </w:rPr>
        <w:t xml:space="preserve">Nylah Anderson, age 10  ·  Philadelphia, Pennsylvania</w:t>
      </w:r>
    </w:p>
    <w:p>
      <w:pPr>
        <w:spacing w:after="140" w:before="100"/>
        <w:jc w:val="left"/>
      </w:pPr>
      <w:r>
        <w:rPr>
          <w:rFonts w:ascii="Arial" w:cs="Arial" w:eastAsia="Arial" w:hAnsi="Arial"/>
          <w:b w:val="false"/>
          <w:bCs w:val="false"/>
          <w:i/>
          <w:iCs/>
          <w:color w:val="1A1A1A"/>
          <w:sz w:val="22"/>
          <w:szCs w:val="22"/>
        </w:rPr>
        <w:t xml:space="preserve">Died December 2021. The Blackout Challenge appeared on her algorithmically curated For You page. Her family sued TikTok. A federal appeals court revived the case in 2024, ruling the algorithm itself may be liable.</w:t>
      </w:r>
    </w:p>
    <w:p>
      <w:pPr>
        <w:spacing w:after="0" w:before="60"/>
      </w:pPr>
      <w:r>
        <w:t xml:space="preserve"/>
      </w:r>
    </w:p>
    <w:p>
      <w:pPr>
        <w:spacing w:after="140" w:before="100"/>
      </w:pPr>
      <w:r>
        <w:rPr>
          <w:rFonts w:ascii="Arial" w:cs="Arial" w:eastAsia="Arial" w:hAnsi="Arial"/>
          <w:b/>
          <w:bCs/>
          <w:i w:val="false"/>
          <w:iCs w:val="false"/>
          <w:color w:val="C0392B"/>
          <w:sz w:val="22"/>
          <w:szCs w:val="22"/>
        </w:rPr>
        <w:t xml:space="preserve">CJ Dawley, age 14  ·  Kenosha, Wisconsin</w:t>
      </w:r>
    </w:p>
    <w:p>
      <w:pPr>
        <w:spacing w:after="140" w:before="100"/>
        <w:jc w:val="left"/>
      </w:pPr>
      <w:r>
        <w:rPr>
          <w:rFonts w:ascii="Arial" w:cs="Arial" w:eastAsia="Arial" w:hAnsi="Arial"/>
          <w:b w:val="false"/>
          <w:bCs w:val="false"/>
          <w:i/>
          <w:iCs/>
          <w:color w:val="1A1A1A"/>
          <w:sz w:val="22"/>
          <w:szCs w:val="22"/>
        </w:rPr>
        <w:t xml:space="preserve">Died by suicide after developing what his parents described as an addiction to a machine specifically designed to be addictive.</w:t>
      </w:r>
    </w:p>
    <w:p>
      <w:pPr>
        <w:spacing w:after="0" w:before="60"/>
      </w:pPr>
      <w:r>
        <w:t xml:space="preserve"/>
      </w:r>
    </w:p>
    <w:p>
      <w:pPr>
        <w:spacing w:after="140" w:before="100"/>
      </w:pPr>
      <w:r>
        <w:rPr>
          <w:rFonts w:ascii="Arial" w:cs="Arial" w:eastAsia="Arial" w:hAnsi="Arial"/>
          <w:b/>
          <w:bCs/>
          <w:i w:val="false"/>
          <w:iCs w:val="false"/>
          <w:color w:val="C0392B"/>
          <w:sz w:val="22"/>
          <w:szCs w:val="22"/>
        </w:rPr>
        <w:t xml:space="preserve">Amanda Todd, age 15  ·  British Columbia, Canada</w:t>
      </w:r>
    </w:p>
    <w:p>
      <w:pPr>
        <w:spacing w:after="140" w:before="100"/>
        <w:jc w:val="left"/>
      </w:pPr>
      <w:r>
        <w:rPr>
          <w:rFonts w:ascii="Arial" w:cs="Arial" w:eastAsia="Arial" w:hAnsi="Arial"/>
          <w:b w:val="false"/>
          <w:bCs w:val="false"/>
          <w:i/>
          <w:iCs/>
          <w:color w:val="1A1A1A"/>
          <w:sz w:val="22"/>
          <w:szCs w:val="22"/>
        </w:rPr>
        <w:t xml:space="preserve">Died October 2012. Hunted across platforms by a predator whose reach the algorithm continuously amplified. Her story reached millions. Nothing changed.</w:t>
      </w:r>
    </w:p>
    <w:p>
      <w:pPr>
        <w:spacing w:after="0" w:before="60"/>
      </w:pPr>
      <w:r>
        <w:t xml:space="preserve"/>
      </w:r>
    </w:p>
    <w:p>
      <w:pPr>
        <w:spacing w:after="140" w:before="100"/>
      </w:pPr>
      <w:r>
        <w:rPr>
          <w:rFonts w:ascii="Arial" w:cs="Arial" w:eastAsia="Arial" w:hAnsi="Arial"/>
          <w:b/>
          <w:bCs/>
          <w:i w:val="false"/>
          <w:iCs w:val="false"/>
          <w:color w:val="C0392B"/>
          <w:sz w:val="22"/>
          <w:szCs w:val="22"/>
        </w:rPr>
        <w:t xml:space="preserve">Sadie Riggs, age 15  ·  Pennsylvania</w:t>
      </w:r>
    </w:p>
    <w:p>
      <w:pPr>
        <w:spacing w:after="140" w:before="100"/>
        <w:jc w:val="left"/>
      </w:pPr>
      <w:r>
        <w:rPr>
          <w:rFonts w:ascii="Arial" w:cs="Arial" w:eastAsia="Arial" w:hAnsi="Arial"/>
          <w:b w:val="false"/>
          <w:bCs w:val="false"/>
          <w:i/>
          <w:iCs/>
          <w:color w:val="1A1A1A"/>
          <w:sz w:val="22"/>
          <w:szCs w:val="22"/>
        </w:rPr>
        <w:t xml:space="preserve">Died 2015. Told by strangers her algorithm assembled to end her own life. They encouraged her until she did.</w:t>
      </w:r>
    </w:p>
    <w:p>
      <w:pPr>
        <w:spacing w:after="0" w:before="120"/>
      </w:pPr>
      <w:r>
        <w:t xml:space="preserve"/>
      </w:r>
    </w:p>
    <w:p>
      <w:pPr>
        <w:spacing w:after="140" w:before="100"/>
        <w:jc w:val="left"/>
      </w:pPr>
      <w:r>
        <w:rPr>
          <w:rFonts w:ascii="Arial" w:cs="Arial" w:eastAsia="Arial" w:hAnsi="Arial"/>
          <w:b w:val="false"/>
          <w:bCs w:val="false"/>
          <w:i/>
          <w:iCs/>
          <w:color w:val="1A1A1A"/>
          <w:sz w:val="22"/>
          <w:szCs w:val="22"/>
        </w:rPr>
        <w:t xml:space="preserve">And to the hundreds of others whose names are recorded at hoffmanlenses.org/remembrance.</w:t>
      </w:r>
    </w:p>
    <w:p>
      <w:pPr>
        <w:spacing w:after="0" w:before="60"/>
      </w:pPr>
      <w:r>
        <w:t xml:space="preserve"/>
      </w:r>
    </w:p>
    <w:p>
      <w:pPr>
        <w:spacing w:after="140" w:before="100"/>
        <w:jc w:val="left"/>
      </w:pPr>
      <w:r>
        <w:rPr>
          <w:rFonts w:ascii="Arial" w:cs="Arial" w:eastAsia="Arial" w:hAnsi="Arial"/>
          <w:b/>
          <w:bCs/>
          <w:i w:val="false"/>
          <w:iCs w:val="false"/>
          <w:color w:val="1B3A6B"/>
          <w:sz w:val="22"/>
          <w:szCs w:val="22"/>
        </w:rPr>
        <w:t xml:space="preserve">They deserved better than to be engagement metrics.</w:t>
      </w:r>
    </w:p>
    <w:p>
      <w:r>
        <w:br w:type="page"/>
      </w:r>
    </w:p>
    <w:p>
      <w:pPr>
        <w:spacing w:after="60" w:before="320"/>
      </w:pPr>
      <w:r>
        <w:rPr>
          <w:rFonts w:ascii="Arial" w:cs="Arial" w:eastAsia="Arial" w:hAnsi="Arial"/>
          <w:b/>
          <w:bCs/>
          <w:color w:val="2E5FA3"/>
          <w:sz w:val="18"/>
          <w:szCs w:val="18"/>
        </w:rPr>
        <w:t xml:space="preserve">LEGISLATIVE SUMMARY</w:t>
      </w:r>
    </w:p>
    <w:p>
      <w:pPr>
        <w:pStyle w:val="Heading1"/>
        <w:spacing w:after="160" w:before="240"/>
      </w:pPr>
      <w:r>
        <w:rPr>
          <w:rFonts w:ascii="Arial" w:cs="Arial" w:eastAsia="Arial" w:hAnsi="Arial"/>
          <w:b/>
          <w:bCs/>
          <w:color w:val="1B3A6B"/>
          <w:sz w:val="36"/>
          <w:szCs w:val="36"/>
        </w:rPr>
        <w:t xml:space="preserve">One-Page Summary for Legislators</w:t>
      </w:r>
    </w:p>
    <w:p>
      <w:pPr>
        <w:spacing w:after="140" w:before="100"/>
        <w:jc w:val="left"/>
      </w:pPr>
      <w:r>
        <w:rPr>
          <w:rFonts w:ascii="Arial" w:cs="Arial" w:eastAsia="Arial" w:hAnsi="Arial"/>
          <w:b w:val="false"/>
          <w:bCs w:val="false"/>
          <w:i w:val="false"/>
          <w:iCs w:val="false"/>
          <w:color w:val="1A1A1A"/>
          <w:sz w:val="22"/>
          <w:szCs w:val="22"/>
        </w:rPr>
        <w:t xml:space="preserve">This summary is designed for legislative staff and elected officials. The full legal and evidentiary case follows in the complete document.</w:t>
      </w:r>
    </w:p>
    <w:p>
      <w:pPr>
        <w:spacing w:after="0" w:before="80"/>
      </w:pPr>
      <w:r>
        <w:t xml:space="preserve"/>
      </w:r>
    </w:p>
    <w:p>
      <w:pPr>
        <w:pStyle w:val="Heading3"/>
        <w:spacing w:after="100" w:before="200"/>
      </w:pPr>
      <w:r>
        <w:rPr>
          <w:rFonts w:ascii="Arial" w:cs="Arial" w:eastAsia="Arial" w:hAnsi="Arial"/>
          <w:b/>
          <w:bCs/>
          <w:color w:val="1B3A6B"/>
          <w:sz w:val="22"/>
          <w:szCs w:val="22"/>
        </w:rPr>
        <w:t xml:space="preserve">Why Previous Legislation Has Failed</w:t>
      </w:r>
    </w:p>
    <w:p>
      <w:pPr>
        <w:spacing w:after="140" w:before="100"/>
        <w:jc w:val="left"/>
      </w:pPr>
      <w:r>
        <w:rPr>
          <w:rFonts w:ascii="Arial" w:cs="Arial" w:eastAsia="Arial" w:hAnsi="Arial"/>
          <w:b w:val="false"/>
          <w:bCs w:val="false"/>
          <w:i w:val="false"/>
          <w:iCs w:val="false"/>
          <w:color w:val="1A1A1A"/>
          <w:sz w:val="22"/>
          <w:szCs w:val="22"/>
        </w:rPr>
        <w:t xml:space="preserve">Most child online safety legislation to date has targeted content — restricting what can be shown, banning certain categories of material. This framing is vulnerable to First Amendment challenge because it is, in fact, a restriction on speech. Platform lawyers know this. They have used it repeatedly to enjoin protective legislation before it takes effect.</w:t>
      </w:r>
    </w:p>
    <w:p>
      <w:pPr>
        <w:spacing w:after="140" w:before="100"/>
        <w:jc w:val="left"/>
      </w:pPr>
      <w:r>
        <w:rPr>
          <w:rFonts w:ascii="Arial" w:cs="Arial" w:eastAsia="Arial" w:hAnsi="Arial"/>
          <w:b w:val="false"/>
          <w:bCs w:val="false"/>
          <w:i w:val="false"/>
          <w:iCs w:val="false"/>
          <w:color w:val="1A1A1A"/>
          <w:sz w:val="22"/>
          <w:szCs w:val="22"/>
        </w:rPr>
        <w:t xml:space="preserve">This document proposes a different target: the delivery mechanism, not the content.</w:t>
      </w:r>
    </w:p>
    <w:p>
      <w:pPr>
        <w:spacing w:after="0" w:before="80"/>
      </w:pPr>
      <w:r>
        <w:t xml:space="preserve"/>
      </w:r>
    </w:p>
    <w:p>
      <w:pPr>
        <w:pStyle w:val="Heading3"/>
        <w:spacing w:after="100" w:before="200"/>
      </w:pPr>
      <w:r>
        <w:rPr>
          <w:rFonts w:ascii="Arial" w:cs="Arial" w:eastAsia="Arial" w:hAnsi="Arial"/>
          <w:b/>
          <w:bCs/>
          <w:color w:val="1B3A6B"/>
          <w:sz w:val="22"/>
          <w:szCs w:val="22"/>
        </w:rPr>
        <w:t xml:space="preserve">The Correct Legal Target: The Behavioral Manipulation System</w:t>
      </w:r>
    </w:p>
    <w:p>
      <w:pPr>
        <w:spacing w:after="140" w:before="100"/>
        <w:jc w:val="left"/>
      </w:pPr>
      <w:r>
        <w:rPr>
          <w:rFonts w:ascii="Arial" w:cs="Arial" w:eastAsia="Arial" w:hAnsi="Arial"/>
          <w:b w:val="false"/>
          <w:bCs w:val="false"/>
          <w:i w:val="false"/>
          <w:iCs w:val="false"/>
          <w:color w:val="1A1A1A"/>
          <w:sz w:val="22"/>
          <w:szCs w:val="22"/>
        </w:rPr>
        <w:t xml:space="preserve">A Behavioral Manipulation System (BMS) is not a speaker. It has no views and no voice. It is a machine that monitors your psychological responses, builds a profile of your vulnerabilities, and uses that profile to serve you content designed to maximize your time on the platform — regardless of whether that content harms you.</w:t>
      </w:r>
    </w:p>
    <w:p>
      <w:pPr>
        <w:spacing w:after="140" w:before="100"/>
        <w:jc w:val="left"/>
      </w:pPr>
      <w:r>
        <w:rPr>
          <w:rFonts w:ascii="Arial" w:cs="Arial" w:eastAsia="Arial" w:hAnsi="Arial"/>
          <w:b w:val="false"/>
          <w:bCs w:val="false"/>
          <w:i w:val="false"/>
          <w:iCs w:val="false"/>
          <w:color w:val="1A1A1A"/>
          <w:sz w:val="22"/>
          <w:szCs w:val="22"/>
        </w:rPr>
        <w:t xml:space="preserve">Regulating that machine is not restricting speech. It is regulating industrial equipment that processes speech as its raw material. This framing removes the First Amendment defense while leaving the speech itself entirely untouched.</w:t>
      </w:r>
    </w:p>
    <w:p>
      <w:pPr>
        <w:spacing w:after="0" w:before="80"/>
      </w:pPr>
      <w:r>
        <w:t xml:space="preserve"/>
      </w:r>
    </w:p>
    <w:p>
      <w:pPr>
        <w:pStyle w:val="Heading3"/>
        <w:spacing w:after="100" w:before="200"/>
      </w:pPr>
      <w:r>
        <w:rPr>
          <w:rFonts w:ascii="Arial" w:cs="Arial" w:eastAsia="Arial" w:hAnsi="Arial"/>
          <w:b/>
          <w:bCs/>
          <w:color w:val="1B3A6B"/>
          <w:sz w:val="22"/>
          <w:szCs w:val="22"/>
        </w:rPr>
        <w:t xml:space="preserve">The Six Legislative Demands</w:t>
      </w:r>
    </w:p>
    <w:p>
      <w:pPr>
        <w:pStyle w:val="ListParagraph"/>
        <w:numPr>
          <w:ilvl w:val="0"/>
          <w:numId w:val="2"/>
        </w:numPr>
        <w:spacing w:after="60" w:before="60"/>
      </w:pPr>
      <w:r>
        <w:rPr>
          <w:rFonts w:ascii="Arial" w:cs="Arial" w:eastAsia="Arial" w:hAnsi="Arial"/>
          <w:color w:val="1A1A1A"/>
          <w:sz w:val="22"/>
          <w:szCs w:val="22"/>
        </w:rPr>
        <w:t xml:space="preserve">Enact a statutory prohibition on Behavioral Manipulation Systems operating on platforms accessible to minors, using the precise definition in Section I of this document.</w:t>
      </w:r>
    </w:p>
    <w:p>
      <w:pPr>
        <w:pStyle w:val="ListParagraph"/>
        <w:numPr>
          <w:ilvl w:val="0"/>
          <w:numId w:val="2"/>
        </w:numPr>
        <w:spacing w:after="60" w:before="60"/>
      </w:pPr>
      <w:r>
        <w:rPr>
          <w:rFonts w:ascii="Arial" w:cs="Arial" w:eastAsia="Arial" w:hAnsi="Arial"/>
          <w:color w:val="1A1A1A"/>
          <w:sz w:val="22"/>
          <w:szCs w:val="22"/>
        </w:rPr>
        <w:t xml:space="preserve">Require all platforms to offer a chronological, non-algorithmic feed as the default option, with BMS available only as an informed opt-in.</w:t>
      </w:r>
    </w:p>
    <w:p>
      <w:pPr>
        <w:pStyle w:val="ListParagraph"/>
        <w:numPr>
          <w:ilvl w:val="0"/>
          <w:numId w:val="2"/>
        </w:numPr>
        <w:spacing w:after="60" w:before="60"/>
      </w:pPr>
      <w:r>
        <w:rPr>
          <w:rFonts w:ascii="Arial" w:cs="Arial" w:eastAsia="Arial" w:hAnsi="Arial"/>
          <w:color w:val="1A1A1A"/>
          <w:sz w:val="22"/>
          <w:szCs w:val="22"/>
        </w:rPr>
        <w:t xml:space="preserve">Establish a statutory duty of care for social media platforms, modeled on product liability law, requiring demonstrated net benefit before deployment.</w:t>
      </w:r>
    </w:p>
    <w:p>
      <w:pPr>
        <w:pStyle w:val="ListParagraph"/>
        <w:numPr>
          <w:ilvl w:val="0"/>
          <w:numId w:val="2"/>
        </w:numPr>
        <w:spacing w:after="60" w:before="60"/>
      </w:pPr>
      <w:r>
        <w:rPr>
          <w:rFonts w:ascii="Arial" w:cs="Arial" w:eastAsia="Arial" w:hAnsi="Arial"/>
          <w:color w:val="1A1A1A"/>
          <w:sz w:val="22"/>
          <w:szCs w:val="22"/>
        </w:rPr>
        <w:t xml:space="preserve">Mandate independent algorithmic auditing of all BMS systems, with public reporting of findings.</w:t>
      </w:r>
    </w:p>
    <w:p>
      <w:pPr>
        <w:pStyle w:val="ListParagraph"/>
        <w:numPr>
          <w:ilvl w:val="0"/>
          <w:numId w:val="2"/>
        </w:numPr>
        <w:spacing w:after="60" w:before="60"/>
      </w:pPr>
      <w:r>
        <w:rPr>
          <w:rFonts w:ascii="Arial" w:cs="Arial" w:eastAsia="Arial" w:hAnsi="Arial"/>
          <w:color w:val="1A1A1A"/>
          <w:sz w:val="22"/>
          <w:szCs w:val="22"/>
        </w:rPr>
        <w:t xml:space="preserve">Remove Section 230 immunity specifically for harms caused by BMS operation — distinguishing platform liability for user content (appropriate for 230 protection) from liability for the platform’s own algorithmic amplification system (not appropriate for 230 protection).</w:t>
      </w:r>
    </w:p>
    <w:p>
      <w:pPr>
        <w:pStyle w:val="ListParagraph"/>
        <w:numPr>
          <w:ilvl w:val="0"/>
          <w:numId w:val="2"/>
        </w:numPr>
        <w:spacing w:after="60" w:before="60"/>
      </w:pPr>
      <w:r>
        <w:rPr>
          <w:rFonts w:ascii="Arial" w:cs="Arial" w:eastAsia="Arial" w:hAnsi="Arial"/>
          <w:color w:val="1A1A1A"/>
          <w:sz w:val="22"/>
          <w:szCs w:val="22"/>
        </w:rPr>
        <w:t xml:space="preserve">Establish an international treaty framework for BMS regulation, recognizing behavioral manipulation as a global harm requiring global accountability.</w:t>
      </w:r>
    </w:p>
    <w:p>
      <w:pPr>
        <w:spacing w:after="0" w:before="120"/>
      </w:pPr>
      <w:r>
        <w:t xml:space="preserve"/>
      </w:r>
    </w:p>
    <w:p>
      <w:pPr>
        <w:pStyle w:val="Heading3"/>
        <w:spacing w:after="100" w:before="200"/>
      </w:pPr>
      <w:r>
        <w:rPr>
          <w:rFonts w:ascii="Arial" w:cs="Arial" w:eastAsia="Arial" w:hAnsi="Arial"/>
          <w:b/>
          <w:bCs/>
          <w:color w:val="1B3A6B"/>
          <w:sz w:val="22"/>
          <w:szCs w:val="22"/>
        </w:rPr>
        <w:t xml:space="preserve">What the Platforms Knew — and When</w:t>
      </w:r>
    </w:p>
    <w:p>
      <w:pPr>
        <w:spacing w:after="140" w:before="100"/>
        <w:jc w:val="left"/>
      </w:pPr>
      <w:r>
        <w:rPr>
          <w:rFonts w:ascii="Arial" w:cs="Arial" w:eastAsia="Arial" w:hAnsi="Arial"/>
          <w:b w:val="false"/>
          <w:bCs w:val="false"/>
          <w:i w:val="false"/>
          <w:iCs w:val="false"/>
          <w:color w:val="1A1A1A"/>
          <w:sz w:val="22"/>
          <w:szCs w:val="22"/>
        </w:rPr>
        <w:t xml:space="preserve">This is not a case about unforeseeable harm. The platforms’ own internal research documented the harm. Internal recommendations to reduce it were overruled because mitigation would reduce engagement and therefore revenue. The Facebook Papers, the Molly Russell inquest findings, and the January 2024 Senate testimony together establish a clear record of awareness, documentation, and deliberate inaction. The full evidentiary record is in Section IV.</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5FA3" w:sz="4"/>
              <w:left w:val="single" w:color="2E5FA3" w:sz="4"/>
              <w:bottom w:val="single" w:color="2E5FA3" w:sz="4"/>
              <w:right w:val="single" w:color="2E5FA3" w:sz="4"/>
            </w:tcBorders>
            <w:shd w:fill="F2F4F8" w:val="clear"/>
            <w:tcMar>
              <w:top w:type="dxa" w:w="140"/>
              <w:left w:type="dxa" w:w="200"/>
              <w:bottom w:type="dxa" w:w="140"/>
              <w:right w:type="dxa" w:w="200"/>
            </w:tcMar>
          </w:tcPr>
          <w:p>
            <w:pPr>
              <w:spacing w:after="80" w:before="0"/>
            </w:pPr>
            <w:r>
              <w:rPr>
                <w:rFonts w:ascii="Arial" w:cs="Arial" w:eastAsia="Arial" w:hAnsi="Arial"/>
                <w:b/>
                <w:bCs/>
                <w:color w:val="2E5FA3"/>
                <w:sz w:val="18"/>
                <w:szCs w:val="18"/>
              </w:rPr>
              <w:t xml:space="preserve">THE FIRST AMENDMENT DEFENSE — WHY IT FAILS HERE</w:t>
            </w:r>
          </w:p>
          <w:p>
            <w:pPr>
              <w:spacing w:after="0" w:before="0"/>
            </w:pPr>
            <w:r>
              <w:rPr>
                <w:rFonts w:ascii="Arial" w:cs="Arial" w:eastAsia="Arial" w:hAnsi="Arial"/>
                <w:color w:val="1A1A1A"/>
                <w:sz w:val="21"/>
                <w:szCs w:val="21"/>
              </w:rPr>
              <w:t xml:space="preserve">Platforms have argued that algorithmic curation is protected editorial speech. This argument succeeds when legislation targets content. It fails when legislation targets the delivery mechanism. A BMS is not a speaker making editorial choices. It is a system that selects content based on predicted psychological response to maximize advertising revenue. That system is not speech. It is a machine. It has no First Amendment rights. See Section V for the complete legal analysis.</w:t>
            </w:r>
          </w:p>
        </w:tc>
      </w:tr>
    </w:tbl>
    <w:p>
      <w:r>
        <w:br w:type="page"/>
      </w:r>
    </w:p>
    <w:p>
      <w:pPr>
        <w:spacing w:after="60" w:before="320"/>
      </w:pPr>
      <w:r>
        <w:rPr>
          <w:rFonts w:ascii="Arial" w:cs="Arial" w:eastAsia="Arial" w:hAnsi="Arial"/>
          <w:b/>
          <w:bCs/>
          <w:color w:val="2E5FA3"/>
          <w:sz w:val="18"/>
          <w:szCs w:val="18"/>
        </w:rPr>
        <w:t xml:space="preserve">EXECUTIVE SUMMARY</w:t>
      </w:r>
    </w:p>
    <w:p>
      <w:pPr>
        <w:pStyle w:val="Heading1"/>
        <w:spacing w:after="160" w:before="240"/>
      </w:pPr>
      <w:r>
        <w:rPr>
          <w:rFonts w:ascii="Arial" w:cs="Arial" w:eastAsia="Arial" w:hAnsi="Arial"/>
          <w:b/>
          <w:bCs/>
          <w:color w:val="1B3A6B"/>
          <w:sz w:val="36"/>
          <w:szCs w:val="36"/>
        </w:rPr>
        <w:t xml:space="preserve">Executive Summary</w:t>
      </w:r>
    </w:p>
    <w:p>
      <w:pPr>
        <w:spacing w:after="140" w:before="100"/>
        <w:jc w:val="left"/>
      </w:pPr>
      <w:r>
        <w:rPr>
          <w:rFonts w:ascii="Arial" w:cs="Arial" w:eastAsia="Arial" w:hAnsi="Arial"/>
          <w:b w:val="false"/>
          <w:bCs w:val="false"/>
          <w:i w:val="false"/>
          <w:iCs w:val="false"/>
          <w:color w:val="1A1A1A"/>
          <w:sz w:val="22"/>
          <w:szCs w:val="22"/>
        </w:rPr>
        <w:t xml:space="preserve">On February 3, 2026, a nine-year-old girl named JackLynn Blackwell went out to play in her backyard in Stephenville, Texas. Her father found her minutes later with a cord around her neck. She had been served a choking challenge video by an algorithm. She died. She was nine years old.</w:t>
      </w:r>
    </w:p>
    <w:p>
      <w:pPr>
        <w:spacing w:after="140" w:before="100"/>
        <w:jc w:val="left"/>
      </w:pPr>
      <w:r>
        <w:rPr>
          <w:rFonts w:ascii="Arial" w:cs="Arial" w:eastAsia="Arial" w:hAnsi="Arial"/>
          <w:b w:val="false"/>
          <w:bCs w:val="false"/>
          <w:i w:val="false"/>
          <w:iCs w:val="false"/>
          <w:color w:val="1A1A1A"/>
          <w:sz w:val="22"/>
          <w:szCs w:val="22"/>
        </w:rPr>
        <w:t xml:space="preserve">She is not an anomaly. She is a data point in a pattern that has been documented, studied, reported, and ignored for over a decade. Behavioral Manipulation Systems (BMS) — the algorithmic engines that decide what you see next on every major social platform — are injuring and killing human beings as a direct and foreseeable consequence of how they are designed to operate.</w:t>
      </w:r>
    </w:p>
    <w:p>
      <w:pPr>
        <w:spacing w:after="140" w:before="100"/>
        <w:jc w:val="left"/>
      </w:pPr>
      <w:r>
        <w:rPr>
          <w:rFonts w:ascii="Arial" w:cs="Arial" w:eastAsia="Arial" w:hAnsi="Arial"/>
          <w:b w:val="false"/>
          <w:bCs w:val="false"/>
          <w:i w:val="false"/>
          <w:iCs w:val="false"/>
          <w:color w:val="1A1A1A"/>
          <w:sz w:val="22"/>
          <w:szCs w:val="22"/>
        </w:rPr>
        <w:t xml:space="preserve">This document makes a precise case. It does not argue against the internet. It does not argue against communication, community, or connection. It argues against one specific class of technology: systems that monitor your psychological responses in real time, identify your vulnerabilities, and use that information to serve you increasingly intense content for the sole purpose of maximizing your time on the platform — because your distress, your outrage, your despair are the product being sold to advertisers.</w:t>
      </w:r>
    </w:p>
    <w:p>
      <w:pPr>
        <w:spacing w:after="140" w:before="100"/>
        <w:jc w:val="left"/>
      </w:pPr>
      <w:r>
        <w:rPr>
          <w:rFonts w:ascii="Arial" w:cs="Arial" w:eastAsia="Arial" w:hAnsi="Arial"/>
          <w:b w:val="false"/>
          <w:bCs w:val="false"/>
          <w:i w:val="false"/>
          <w:iCs w:val="false"/>
          <w:color w:val="1A1A1A"/>
          <w:sz w:val="22"/>
          <w:szCs w:val="22"/>
        </w:rPr>
        <w:t xml:space="preserve">We call this class of technology Behavioral Manipulation Systems. The term is precise and intentional. These systems do not recommend content. They manipulate behavior. The distinction is not semantic. A recommendation serves your interest. A manipulation serves the platform’s interest at your expense.</w:t>
      </w:r>
    </w:p>
    <w:p>
      <w:pPr>
        <w:spacing w:after="0" w:before="80"/>
      </w:pPr>
      <w:r>
        <w:t xml:space="preserve"/>
      </w:r>
    </w:p>
    <w:p>
      <w:pPr>
        <w:spacing w:after="140" w:before="100"/>
        <w:jc w:val="left"/>
      </w:pPr>
      <w:r>
        <w:rPr>
          <w:rFonts w:ascii="Arial" w:cs="Arial" w:eastAsia="Arial" w:hAnsi="Arial"/>
          <w:b/>
          <w:bCs/>
          <w:i w:val="false"/>
          <w:iCs w:val="false"/>
          <w:color w:val="1A1A1A"/>
          <w:sz w:val="22"/>
          <w:szCs w:val="22"/>
        </w:rPr>
        <w:t xml:space="preserve">The human rights case rests on five pillars:</w:t>
      </w:r>
    </w:p>
    <w:p>
      <w:pPr>
        <w:pStyle w:val="ListParagraph"/>
        <w:numPr>
          <w:ilvl w:val="0"/>
          <w:numId w:val="2"/>
        </w:numPr>
        <w:spacing w:after="60" w:before="60"/>
      </w:pPr>
      <w:r>
        <w:rPr>
          <w:rFonts w:ascii="Arial" w:cs="Arial" w:eastAsia="Arial" w:hAnsi="Arial"/>
          <w:color w:val="1A1A1A"/>
          <w:sz w:val="22"/>
          <w:szCs w:val="22"/>
        </w:rPr>
        <w:t xml:space="preserve">The right to life (ICCPR Article 6; UNCRC Article 6), violated when BMS systems foreseeably amplify content that leads directly to child death.</w:t>
      </w:r>
    </w:p>
    <w:p>
      <w:pPr>
        <w:pStyle w:val="ListParagraph"/>
        <w:numPr>
          <w:ilvl w:val="0"/>
          <w:numId w:val="2"/>
        </w:numPr>
        <w:spacing w:after="60" w:before="60"/>
      </w:pPr>
      <w:r>
        <w:rPr>
          <w:rFonts w:ascii="Arial" w:cs="Arial" w:eastAsia="Arial" w:hAnsi="Arial"/>
          <w:color w:val="1A1A1A"/>
          <w:sz w:val="22"/>
          <w:szCs w:val="22"/>
        </w:rPr>
        <w:t xml:space="preserve">The right to health (ICESCR Article 12; UNCRC Article 24), violated by systems that deliberately exploit psychological vulnerabilities to engineer compulsive use.</w:t>
      </w:r>
    </w:p>
    <w:p>
      <w:pPr>
        <w:pStyle w:val="ListParagraph"/>
        <w:numPr>
          <w:ilvl w:val="0"/>
          <w:numId w:val="2"/>
        </w:numPr>
        <w:spacing w:after="60" w:before="60"/>
      </w:pPr>
      <w:r>
        <w:rPr>
          <w:rFonts w:ascii="Arial" w:cs="Arial" w:eastAsia="Arial" w:hAnsi="Arial"/>
          <w:color w:val="1A1A1A"/>
          <w:sz w:val="22"/>
          <w:szCs w:val="22"/>
        </w:rPr>
        <w:t xml:space="preserve">The right to privacy and autonomy (ICCPR Article 17; UNCRC Article 16), violated by covert behavioral surveillance and manipulation without informed consent.</w:t>
      </w:r>
    </w:p>
    <w:p>
      <w:pPr>
        <w:pStyle w:val="ListParagraph"/>
        <w:numPr>
          <w:ilvl w:val="0"/>
          <w:numId w:val="2"/>
        </w:numPr>
        <w:spacing w:after="60" w:before="60"/>
      </w:pPr>
      <w:r>
        <w:rPr>
          <w:rFonts w:ascii="Arial" w:cs="Arial" w:eastAsia="Arial" w:hAnsi="Arial"/>
          <w:color w:val="1A1A1A"/>
          <w:sz w:val="22"/>
          <w:szCs w:val="22"/>
        </w:rPr>
        <w:t xml:space="preserve">The best interests of the child (UNCRC Article 3), violated by platforms that knowingly expose children to escalating harmful content to maximize engagement.</w:t>
      </w:r>
    </w:p>
    <w:p>
      <w:pPr>
        <w:pStyle w:val="ListParagraph"/>
        <w:numPr>
          <w:ilvl w:val="0"/>
          <w:numId w:val="2"/>
        </w:numPr>
        <w:spacing w:after="60" w:before="60"/>
      </w:pPr>
      <w:r>
        <w:rPr>
          <w:rFonts w:ascii="Arial" w:cs="Arial" w:eastAsia="Arial" w:hAnsi="Arial"/>
          <w:color w:val="1A1A1A"/>
          <w:sz w:val="22"/>
          <w:szCs w:val="22"/>
        </w:rPr>
        <w:t xml:space="preserve">The corporate duty to do no harm (UN Guiding Principles on Business and Human Rights), violated by platforms that have documented the harm, quantified it, and chosen profit over prevention.</w:t>
      </w:r>
    </w:p>
    <w:p>
      <w:pPr>
        <w:spacing w:after="0" w:before="100"/>
      </w:pPr>
      <w:r>
        <w:t xml:space="preserve"/>
      </w:r>
    </w:p>
    <w:p>
      <w:pPr>
        <w:spacing w:after="140" w:before="100"/>
        <w:jc w:val="left"/>
      </w:pPr>
      <w:r>
        <w:rPr>
          <w:rFonts w:ascii="Arial" w:cs="Arial" w:eastAsia="Arial" w:hAnsi="Arial"/>
          <w:b w:val="false"/>
          <w:bCs w:val="false"/>
          <w:i w:val="false"/>
          <w:iCs w:val="false"/>
          <w:color w:val="1A1A1A"/>
          <w:sz w:val="22"/>
          <w:szCs w:val="22"/>
        </w:rPr>
        <w:t xml:space="preserve">The most powerful legal weapon platforms have deployed against protective legislation is the First Amendment. This document proposes a reframe that removes that defense entirely: we are not regulating speech, we are regulating the delivery mechanism that operates between speaker and listener. That mechanism is not speech. It is a machine. It has no First Amendment rights. The full argument is in Section V — and a condensed version for legislative staff appears in the Legislative Summary preceding this section.</w:t>
      </w:r>
    </w:p>
    <w:p>
      <w:pPr>
        <w:spacing w:after="0" w:before="80"/>
      </w:pPr>
      <w:r>
        <w:t xml:space="preserve"/>
      </w:r>
    </w:p>
    <w:p>
      <w:pPr>
        <w:spacing w:after="140" w:before="100"/>
        <w:jc w:val="left"/>
      </w:pPr>
      <w:r>
        <w:rPr>
          <w:rFonts w:ascii="Arial" w:cs="Arial" w:eastAsia="Arial" w:hAnsi="Arial"/>
          <w:b w:val="false"/>
          <w:bCs w:val="false"/>
          <w:i w:val="false"/>
          <w:iCs w:val="false"/>
          <w:color w:val="1A1A1A"/>
          <w:sz w:val="22"/>
          <w:szCs w:val="22"/>
        </w:rPr>
        <w:t xml:space="preserve">The solution this document proposes is not a ban on social media. It is the abolition of Behavioral Manipulation Systems — their replacement with systems that serve the user rather than exploit them. The alternatives exist, function, and are in use today.</w:t>
      </w:r>
    </w:p>
    <w:p>
      <w:pPr>
        <w:spacing w:after="0" w:before="120"/>
      </w:pPr>
      <w:r>
        <w:t xml:space="preserve"/>
      </w:r>
    </w:p>
    <w:p>
      <w:pPr>
        <w:pBdr>
          <w:left w:val="single" w:color="C0392B" w:sz="12" w:space="6"/>
        </w:pBdr>
        <w:spacing w:after="60" w:before="160"/>
        <w:ind w:left="600"/>
      </w:pPr>
      <w:r>
        <w:rPr>
          <w:rFonts w:ascii="Arial" w:cs="Arial" w:eastAsia="Arial" w:hAnsi="Arial"/>
          <w:i/>
          <w:iCs/>
          <w:color w:val="444444"/>
          <w:sz w:val="22"/>
          <w:szCs w:val="22"/>
        </w:rPr>
        <w:t xml:space="preserve">“You could check on your kid, it could be kid-friendly videos, and then three minutes later it could be totally something dark because of the algorithms they start creating. There’s too many of these kids lost for these companies not to be held accountable.”</w:t>
      </w:r>
    </w:p>
    <w:p>
      <w:pPr>
        <w:spacing w:after="200" w:before="0"/>
        <w:ind w:left="600"/>
      </w:pPr>
      <w:r>
        <w:rPr>
          <w:rFonts w:ascii="Arial" w:cs="Arial" w:eastAsia="Arial" w:hAnsi="Arial"/>
          <w:color w:val="888888"/>
          <w:sz w:val="20"/>
          <w:szCs w:val="20"/>
        </w:rPr>
        <w:t xml:space="preserve">— Curtis Blackwell, father of JackLynn Blackwell, age 9. February 2026.</w:t>
      </w:r>
    </w:p>
    <w:p>
      <w:r>
        <w:br w:type="page"/>
      </w:r>
    </w:p>
    <w:p>
      <w:pPr>
        <w:spacing w:after="60" w:before="320"/>
      </w:pPr>
      <w:r>
        <w:rPr>
          <w:rFonts w:ascii="Arial" w:cs="Arial" w:eastAsia="Arial" w:hAnsi="Arial"/>
          <w:b/>
          <w:bCs/>
          <w:color w:val="2E5FA3"/>
          <w:sz w:val="18"/>
          <w:szCs w:val="18"/>
        </w:rPr>
        <w:t xml:space="preserve">SECTION I</w:t>
      </w:r>
    </w:p>
    <w:p>
      <w:pPr>
        <w:pStyle w:val="Heading1"/>
        <w:spacing w:after="160" w:before="240"/>
      </w:pPr>
      <w:r>
        <w:rPr>
          <w:rFonts w:ascii="Arial" w:cs="Arial" w:eastAsia="Arial" w:hAnsi="Arial"/>
          <w:b/>
          <w:bCs/>
          <w:color w:val="1B3A6B"/>
          <w:sz w:val="36"/>
          <w:szCs w:val="36"/>
        </w:rPr>
        <w:t xml:space="preserve">I. Naming the Machine</w:t>
      </w:r>
    </w:p>
    <w:p>
      <w:pPr>
        <w:pStyle w:val="Heading2"/>
        <w:spacing w:after="120" w:before="240"/>
      </w:pPr>
      <w:r>
        <w:rPr>
          <w:rFonts w:ascii="Arial" w:cs="Arial" w:eastAsia="Arial" w:hAnsi="Arial"/>
          <w:b/>
          <w:bCs/>
          <w:color w:val="2E5FA3"/>
          <w:sz w:val="26"/>
          <w:szCs w:val="26"/>
        </w:rPr>
        <w:t xml:space="preserve">What a Behavioral Manipulation System Is — and Is Not</w:t>
      </w:r>
    </w:p>
    <w:p>
      <w:pPr>
        <w:spacing w:after="140" w:before="100"/>
        <w:jc w:val="left"/>
      </w:pPr>
      <w:r>
        <w:rPr>
          <w:rFonts w:ascii="Arial" w:cs="Arial" w:eastAsia="Arial" w:hAnsi="Arial"/>
          <w:b w:val="false"/>
          <w:bCs w:val="false"/>
          <w:i w:val="false"/>
          <w:iCs w:val="false"/>
          <w:color w:val="1A1A1A"/>
          <w:sz w:val="22"/>
          <w:szCs w:val="22"/>
        </w:rPr>
        <w:t xml:space="preserve">Precision matters here. The argument being made in this document will be misrepresented — deliberately and expensively — as an argument against algorithms, against technology, against the internet itself. It is not. Precision is the defense against that misrepresentation.</w:t>
      </w:r>
    </w:p>
    <w:p>
      <w:pPr>
        <w:spacing w:after="140" w:before="100"/>
        <w:jc w:val="left"/>
      </w:pPr>
      <w:r>
        <w:rPr>
          <w:rFonts w:ascii="Arial" w:cs="Arial" w:eastAsia="Arial" w:hAnsi="Arial"/>
          <w:b w:val="false"/>
          <w:bCs w:val="false"/>
          <w:i w:val="false"/>
          <w:iCs w:val="false"/>
          <w:color w:val="1A1A1A"/>
          <w:sz w:val="22"/>
          <w:szCs w:val="22"/>
        </w:rPr>
        <w:t xml:space="preserve">An algorithm is a decision-making process. Algorithms are everywhere and are not inherently harmful. A spam filter uses an algorithm. A search engine uses an algorithm. A map application uses an algorithm. These systems serve your goal: filter junk, find information, navigate to your destination. They optimize for your interests.</w:t>
      </w:r>
    </w:p>
    <w:p>
      <w:pPr>
        <w:spacing w:after="140" w:before="100"/>
        <w:jc w:val="left"/>
      </w:pPr>
      <w:r>
        <w:rPr>
          <w:rFonts w:ascii="Arial" w:cs="Arial" w:eastAsia="Arial" w:hAnsi="Arial"/>
          <w:b w:val="false"/>
          <w:bCs w:val="false"/>
          <w:i w:val="false"/>
          <w:iCs w:val="false"/>
          <w:color w:val="1A1A1A"/>
          <w:sz w:val="22"/>
          <w:szCs w:val="22"/>
        </w:rPr>
        <w:t xml:space="preserve">A Behavioral Manipulation System is categorically different. It does not serve your goal. It serves the platform’s goal, which is to maximize the time you spend on the platform, because your time is the product being sold to advertisers. To do this:</w:t>
      </w:r>
    </w:p>
    <w:p>
      <w:pPr>
        <w:pStyle w:val="ListParagraph"/>
        <w:numPr>
          <w:ilvl w:val="0"/>
          <w:numId w:val="2"/>
        </w:numPr>
        <w:spacing w:after="60" w:before="60"/>
      </w:pPr>
      <w:r>
        <w:rPr>
          <w:rFonts w:ascii="Arial" w:cs="Arial" w:eastAsia="Arial" w:hAnsi="Arial"/>
          <w:color w:val="1A1A1A"/>
          <w:sz w:val="22"/>
          <w:szCs w:val="22"/>
        </w:rPr>
        <w:t xml:space="preserve">It monitors your behavior in real time — your scroll velocity, your pause duration, your emotional responses as expressed through engagement patterns — and builds a psychological profile of your vulnerabilities.</w:t>
      </w:r>
    </w:p>
    <w:p>
      <w:pPr>
        <w:pStyle w:val="ListParagraph"/>
        <w:numPr>
          <w:ilvl w:val="0"/>
          <w:numId w:val="2"/>
        </w:numPr>
        <w:spacing w:after="60" w:before="60"/>
      </w:pPr>
      <w:r>
        <w:rPr>
          <w:rFonts w:ascii="Arial" w:cs="Arial" w:eastAsia="Arial" w:hAnsi="Arial"/>
          <w:color w:val="1A1A1A"/>
          <w:sz w:val="22"/>
          <w:szCs w:val="22"/>
        </w:rPr>
        <w:t xml:space="preserve">It uses that profile to select the next piece of content you see, not because it is relevant to your interests, but because it is calibrated to produce the strongest possible emotional response — the response most likely to keep you scrolling.</w:t>
      </w:r>
    </w:p>
    <w:p>
      <w:pPr>
        <w:pStyle w:val="ListParagraph"/>
        <w:numPr>
          <w:ilvl w:val="0"/>
          <w:numId w:val="2"/>
        </w:numPr>
        <w:spacing w:after="60" w:before="60"/>
      </w:pPr>
      <w:r>
        <w:rPr>
          <w:rFonts w:ascii="Arial" w:cs="Arial" w:eastAsia="Arial" w:hAnsi="Arial"/>
          <w:color w:val="1A1A1A"/>
          <w:sz w:val="22"/>
          <w:szCs w:val="22"/>
        </w:rPr>
        <w:t xml:space="preserve">It escalates. Because strong emotions — outrage, anxiety, fear, desire, despair — produce stronger engagement signals, the system systematically serves you more intense content over time. This is not a bug. It is the designed behavior.</w:t>
      </w:r>
    </w:p>
    <w:p>
      <w:pPr>
        <w:pStyle w:val="ListParagraph"/>
        <w:numPr>
          <w:ilvl w:val="0"/>
          <w:numId w:val="2"/>
        </w:numPr>
        <w:spacing w:after="60" w:before="60"/>
      </w:pPr>
      <w:r>
        <w:rPr>
          <w:rFonts w:ascii="Arial" w:cs="Arial" w:eastAsia="Arial" w:hAnsi="Arial"/>
          <w:color w:val="1A1A1A"/>
          <w:sz w:val="22"/>
          <w:szCs w:val="22"/>
        </w:rPr>
        <w:t xml:space="preserve">It operates without your awareness. You do not see the system working. You see only the content it selects. The decision layer is invisible.</w:t>
      </w:r>
    </w:p>
    <w:p>
      <w:pPr>
        <w:pStyle w:val="ListParagraph"/>
        <w:numPr>
          <w:ilvl w:val="0"/>
          <w:numId w:val="2"/>
        </w:numPr>
        <w:spacing w:after="60" w:before="60"/>
      </w:pPr>
      <w:r>
        <w:rPr>
          <w:rFonts w:ascii="Arial" w:cs="Arial" w:eastAsia="Arial" w:hAnsi="Arial"/>
          <w:color w:val="1A1A1A"/>
          <w:sz w:val="22"/>
          <w:szCs w:val="22"/>
        </w:rPr>
        <w:t xml:space="preserve">It has no obligation to your wellbeing. There is no mechanism — no internal constraint, no design principle, no profit incentive — that stops the system from serving you content that harms you, as long as that content keeps you engaged.</w:t>
      </w:r>
    </w:p>
    <w:p>
      <w:pPr>
        <w:spacing w:after="0" w:before="80"/>
      </w:pPr>
      <w:r>
        <w:t xml:space="preserve"/>
      </w:r>
    </w:p>
    <w:p>
      <w:pPr>
        <w:pBdr>
          <w:left w:val="single" w:color="C0392B" w:sz="12" w:space="6"/>
        </w:pBdr>
        <w:spacing w:after="60" w:before="160"/>
        <w:ind w:left="600"/>
      </w:pPr>
      <w:r>
        <w:rPr>
          <w:rFonts w:ascii="Arial" w:cs="Arial" w:eastAsia="Arial" w:hAnsi="Arial"/>
          <w:i/>
          <w:iCs/>
          <w:color w:val="444444"/>
          <w:sz w:val="22"/>
          <w:szCs w:val="22"/>
        </w:rPr>
        <w:t xml:space="preserve">“The result has been a system that amplifies division, extremism and polarization — and undermining societies around the world. This is not just a side effect — it is a consequence of deliberate product decisions.”</w:t>
      </w:r>
    </w:p>
    <w:p>
      <w:pPr>
        <w:spacing w:after="200" w:before="0"/>
        <w:ind w:left="600"/>
      </w:pPr>
      <w:r>
        <w:rPr>
          <w:rFonts w:ascii="Arial" w:cs="Arial" w:eastAsia="Arial" w:hAnsi="Arial"/>
          <w:color w:val="888888"/>
          <w:sz w:val="20"/>
          <w:szCs w:val="20"/>
        </w:rPr>
        <w:t xml:space="preserve">— Frances Haugen, former Meta product manager, testimony before the United States Senate, October 2021.</w:t>
      </w:r>
    </w:p>
    <w:p>
      <w:pPr>
        <w:spacing w:after="140" w:before="100"/>
        <w:jc w:val="left"/>
      </w:pPr>
      <w:r>
        <w:rPr>
          <w:rFonts w:ascii="Arial" w:cs="Arial" w:eastAsia="Arial" w:hAnsi="Arial"/>
          <w:b w:val="false"/>
          <w:bCs w:val="false"/>
          <w:i w:val="false"/>
          <w:iCs w:val="false"/>
          <w:color w:val="1A1A1A"/>
          <w:sz w:val="22"/>
          <w:szCs w:val="22"/>
        </w:rPr>
        <w:t xml:space="preserve">Frances Haugen did not speak hypothetically. She brought documents.[6] The Facebook Papers — internal research suppressed by Meta — confirmed that the company’s own researchers had documented these effects, had proposed modifications to reduce harm, and had been overruled on the grounds that those modifications would reduce engagement metrics and therefore revenue.</w:t>
      </w:r>
    </w:p>
    <w:p>
      <w:pPr>
        <w:spacing w:after="140" w:before="100"/>
        <w:jc w:val="left"/>
      </w:pPr>
      <w:r>
        <w:rPr>
          <w:rFonts w:ascii="Arial" w:cs="Arial" w:eastAsia="Arial" w:hAnsi="Arial"/>
          <w:b w:val="false"/>
          <w:bCs w:val="false"/>
          <w:i w:val="false"/>
          <w:iCs w:val="false"/>
          <w:color w:val="1A1A1A"/>
          <w:sz w:val="22"/>
          <w:szCs w:val="22"/>
        </w:rPr>
        <w:t xml:space="preserve">Molly Russell was fourteen years old when Meta’s BMS identified her as a user with elevated engagement on depression-related content and served her escalating self-harm material she had never requested. She died. A London coroner formally attributed her death, in part, to content the algorithm chose for her.[4]</w:t>
      </w:r>
    </w:p>
    <w:p>
      <w:pPr>
        <w:spacing w:after="140" w:before="100"/>
        <w:jc w:val="left"/>
      </w:pPr>
      <w:r>
        <w:rPr>
          <w:rFonts w:ascii="Arial" w:cs="Arial" w:eastAsia="Arial" w:hAnsi="Arial"/>
          <w:b w:val="false"/>
          <w:bCs w:val="false"/>
          <w:i w:val="false"/>
          <w:iCs w:val="false"/>
          <w:color w:val="1A1A1A"/>
          <w:sz w:val="22"/>
          <w:szCs w:val="22"/>
        </w:rPr>
        <w:t xml:space="preserve">The Blackout Challenge that killed JackLynn Blackwell, Nylah Anderson, and approximately 78 other children was not something those children searched for. It was served to them by systems that had identified engagement patterns suggesting they would watch, and watch again.[2]</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The Precise Legal Definition of the Target</w:t>
      </w:r>
    </w:p>
    <w:p>
      <w:pPr>
        <w:spacing w:after="140" w:before="100"/>
        <w:jc w:val="left"/>
      </w:pPr>
      <w:r>
        <w:rPr>
          <w:rFonts w:ascii="Arial" w:cs="Arial" w:eastAsia="Arial" w:hAnsi="Arial"/>
          <w:b w:val="false"/>
          <w:bCs w:val="false"/>
          <w:i w:val="false"/>
          <w:iCs w:val="false"/>
          <w:color w:val="1A1A1A"/>
          <w:sz w:val="22"/>
          <w:szCs w:val="22"/>
        </w:rPr>
        <w:t xml:space="preserve">For the purposes of this document, legislative proposals derived from it, and the Hoffman Lenses browser extension designed to detect its operation:</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5FA3" w:sz="4"/>
              <w:left w:val="single" w:color="2E5FA3" w:sz="4"/>
              <w:bottom w:val="single" w:color="2E5FA3" w:sz="4"/>
              <w:right w:val="single" w:color="2E5FA3" w:sz="4"/>
            </w:tcBorders>
            <w:shd w:fill="F2F4F8" w:val="clear"/>
            <w:tcMar>
              <w:top w:type="dxa" w:w="140"/>
              <w:left w:type="dxa" w:w="200"/>
              <w:bottom w:type="dxa" w:w="140"/>
              <w:right w:type="dxa" w:w="200"/>
            </w:tcMar>
          </w:tcPr>
          <w:p>
            <w:pPr>
              <w:spacing w:after="80" w:before="0"/>
            </w:pPr>
            <w:r>
              <w:rPr>
                <w:rFonts w:ascii="Arial" w:cs="Arial" w:eastAsia="Arial" w:hAnsi="Arial"/>
                <w:b/>
                <w:bCs/>
                <w:color w:val="2E5FA3"/>
                <w:sz w:val="18"/>
                <w:szCs w:val="18"/>
              </w:rPr>
              <w:t xml:space="preserve">LEGAL DEFINITION: BEHAVIORAL MANIPULATION SYSTEM</w:t>
            </w:r>
          </w:p>
          <w:p>
            <w:pPr>
              <w:spacing w:after="0" w:before="0"/>
            </w:pPr>
            <w:r>
              <w:rPr>
                <w:rFonts w:ascii="Arial" w:cs="Arial" w:eastAsia="Arial" w:hAnsi="Arial"/>
                <w:color w:val="1A1A1A"/>
                <w:sz w:val="21"/>
                <w:szCs w:val="21"/>
              </w:rPr>
              <w:t xml:space="preserve">A Behavioral Manipulation System is: Any automated system that (a) collects behavioral and psychological response data from individual users; (b) uses that data to construct individual psychological profiles; (c) selects content for those users based primarily on predicted psychological response rather than relevance to user-stated interests or chronological availability; and (d) does so without the user’s meaningful awareness or control over the selection process.</w:t>
            </w:r>
          </w:p>
        </w:tc>
      </w:tr>
    </w:tbl>
    <w:p>
      <w:pPr>
        <w:spacing w:after="0" w:before="100"/>
      </w:pPr>
      <w:r>
        <w:t xml:space="preserve"/>
      </w:r>
    </w:p>
    <w:p>
      <w:pPr>
        <w:spacing w:after="140" w:before="100"/>
        <w:jc w:val="left"/>
      </w:pPr>
      <w:r>
        <w:rPr>
          <w:rFonts w:ascii="Arial" w:cs="Arial" w:eastAsia="Arial" w:hAnsi="Arial"/>
          <w:b w:val="false"/>
          <w:bCs w:val="false"/>
          <w:i w:val="false"/>
          <w:iCs w:val="false"/>
          <w:color w:val="1A1A1A"/>
          <w:sz w:val="22"/>
          <w:szCs w:val="22"/>
        </w:rPr>
        <w:t xml:space="preserve">This definition is deliberately constructed to exclude systems that do not meet its criteria. A search engine that returns results relevant to a query is not a BMS. A chronological feed displaying posts from accounts a user has chosen to follow is not a BMS. A content moderation system that removes harmful material is not a BMS.</w:t>
      </w:r>
    </w:p>
    <w:p>
      <w:pPr>
        <w:spacing w:after="140" w:before="100"/>
        <w:jc w:val="left"/>
      </w:pPr>
      <w:r>
        <w:rPr>
          <w:rFonts w:ascii="Arial" w:cs="Arial" w:eastAsia="Arial" w:hAnsi="Arial"/>
          <w:b w:val="false"/>
          <w:bCs w:val="false"/>
          <w:i w:val="false"/>
          <w:iCs w:val="false"/>
          <w:color w:val="1A1A1A"/>
          <w:sz w:val="22"/>
          <w:szCs w:val="22"/>
        </w:rPr>
        <w:t xml:space="preserve">The Facebook News Feed algorithm is a BMS. TikTok’s For You page is a BMS. Instagram’s Reels recommendation engine is a BMS. YouTube’s autoplay recommendation system is a BMS.</w:t>
      </w:r>
    </w:p>
    <w:p>
      <w:r>
        <w:br w:type="page"/>
      </w:r>
    </w:p>
    <w:p>
      <w:pPr>
        <w:spacing w:after="60" w:before="320"/>
      </w:pPr>
      <w:r>
        <w:rPr>
          <w:rFonts w:ascii="Arial" w:cs="Arial" w:eastAsia="Arial" w:hAnsi="Arial"/>
          <w:b/>
          <w:bCs/>
          <w:color w:val="2E5FA3"/>
          <w:sz w:val="18"/>
          <w:szCs w:val="18"/>
        </w:rPr>
        <w:t xml:space="preserve">SECTION II</w:t>
      </w:r>
    </w:p>
    <w:p>
      <w:pPr>
        <w:pStyle w:val="Heading1"/>
        <w:spacing w:after="160" w:before="240"/>
      </w:pPr>
      <w:r>
        <w:rPr>
          <w:rFonts w:ascii="Arial" w:cs="Arial" w:eastAsia="Arial" w:hAnsi="Arial"/>
          <w:b/>
          <w:bCs/>
          <w:color w:val="1B3A6B"/>
          <w:sz w:val="36"/>
          <w:szCs w:val="36"/>
        </w:rPr>
        <w:t xml:space="preserve">II. The Evidence of Harm</w:t>
      </w:r>
    </w:p>
    <w:p>
      <w:pPr>
        <w:pStyle w:val="Heading2"/>
        <w:spacing w:after="120" w:before="240"/>
      </w:pPr>
      <w:r>
        <w:rPr>
          <w:rFonts w:ascii="Arial" w:cs="Arial" w:eastAsia="Arial" w:hAnsi="Arial"/>
          <w:b/>
          <w:bCs/>
          <w:color w:val="2E5FA3"/>
          <w:sz w:val="26"/>
          <w:szCs w:val="26"/>
        </w:rPr>
        <w:t xml:space="preserve">Children: The Most Visible Victims</w:t>
      </w:r>
    </w:p>
    <w:p>
      <w:pPr>
        <w:spacing w:after="140" w:before="100"/>
        <w:jc w:val="left"/>
      </w:pPr>
      <w:r>
        <w:rPr>
          <w:rFonts w:ascii="Arial" w:cs="Arial" w:eastAsia="Arial" w:hAnsi="Arial"/>
          <w:b w:val="false"/>
          <w:bCs w:val="false"/>
          <w:i w:val="false"/>
          <w:iCs w:val="false"/>
          <w:color w:val="1A1A1A"/>
          <w:sz w:val="22"/>
          <w:szCs w:val="22"/>
        </w:rPr>
        <w:t xml:space="preserve">The evidence linking Behavioral Manipulation Systems to harm in children is no longer disputed in good faith. It has been established in peer-reviewed research, coroner’s inquests, internal corporate documents, and federal appellate court decisions. The question is no longer whether BMS systems harm children. The question is why they are still operating.</w:t>
      </w:r>
    </w:p>
    <w:p>
      <w:pPr>
        <w:spacing w:after="140" w:before="100"/>
        <w:jc w:val="left"/>
      </w:pPr>
      <w:r>
        <w:rPr>
          <w:rFonts w:ascii="Arial" w:cs="Arial" w:eastAsia="Arial" w:hAnsi="Arial"/>
          <w:b w:val="false"/>
          <w:bCs w:val="false"/>
          <w:i w:val="false"/>
          <w:iCs w:val="false"/>
          <w:color w:val="1A1A1A"/>
          <w:sz w:val="22"/>
          <w:szCs w:val="22"/>
        </w:rPr>
        <w:t xml:space="preserve">The scale is staggering. According to the Centers for Disease Control and Prevention, 22 percent of all United States high school students seriously considered suicide in 2021 — a figure that has risen in direct proportion to the adoption of engagement-maximizing social media platforms.[8]</w:t>
      </w:r>
    </w:p>
    <w:p>
      <w:pPr>
        <w:spacing w:after="140" w:before="100"/>
        <w:jc w:val="left"/>
      </w:pPr>
      <w:r>
        <w:rPr>
          <w:rFonts w:ascii="Arial" w:cs="Arial" w:eastAsia="Arial" w:hAnsi="Arial"/>
          <w:b w:val="false"/>
          <w:bCs w:val="false"/>
          <w:i w:val="false"/>
          <w:iCs w:val="false"/>
          <w:color w:val="1A1A1A"/>
          <w:sz w:val="22"/>
          <w:szCs w:val="22"/>
        </w:rPr>
        <w:t xml:space="preserve">The mechanism is consistent across cases and across platforms. A child begins engaging with content related to sadness, loneliness, or body image. The BMS identifies elevated engagement on this content category. The system serves more content in the same category, escalating intensity over time. The child is served content they did not request and would not have chosen. The content escalates to self-harm, to suicide methods, to challenge videos with lethal outcomes.</w:t>
      </w:r>
    </w:p>
    <w:p>
      <w:pPr>
        <w:spacing w:after="0" w:before="80"/>
      </w:pPr>
      <w:r>
        <w:t xml:space="preserve"/>
      </w:r>
    </w:p>
    <w:p>
      <w:pPr>
        <w:pBdr>
          <w:left w:val="single" w:color="C0392B" w:sz="12" w:space="6"/>
        </w:pBdr>
        <w:spacing w:after="60" w:before="160"/>
        <w:ind w:left="600"/>
      </w:pPr>
      <w:r>
        <w:rPr>
          <w:rFonts w:ascii="Arial" w:cs="Arial" w:eastAsia="Arial" w:hAnsi="Arial"/>
          <w:i/>
          <w:iCs/>
          <w:color w:val="444444"/>
          <w:sz w:val="22"/>
          <w:szCs w:val="22"/>
        </w:rPr>
        <w:t xml:space="preserve">“Almost all of the recommended videos watched on Instagram Reels (97%) and TikTok (96%) shown to accounts that had engaged with depression-related content were harmful — containing references to suicide, self-harm, or eating disorders — eight years after the first documented child death attributable to this mechanism.”</w:t>
      </w:r>
    </w:p>
    <w:p>
      <w:pPr>
        <w:spacing w:after="200" w:before="0"/>
        <w:ind w:left="600"/>
      </w:pPr>
      <w:r>
        <w:rPr>
          <w:rFonts w:ascii="Arial" w:cs="Arial" w:eastAsia="Arial" w:hAnsi="Arial"/>
          <w:color w:val="888888"/>
          <w:sz w:val="20"/>
          <w:szCs w:val="20"/>
        </w:rPr>
        <w:t xml:space="preserve">— Molly Rose Foundation, “Pervasive-by-Design” report, August 2025.[3]</w:t>
      </w:r>
    </w:p>
    <w:p>
      <w:pPr>
        <w:spacing w:after="140" w:before="100"/>
        <w:jc w:val="left"/>
      </w:pPr>
      <w:r>
        <w:rPr>
          <w:rFonts w:ascii="Arial" w:cs="Arial" w:eastAsia="Arial" w:hAnsi="Arial"/>
          <w:b w:val="false"/>
          <w:bCs w:val="false"/>
          <w:i w:val="false"/>
          <w:iCs w:val="false"/>
          <w:color w:val="1A1A1A"/>
          <w:sz w:val="22"/>
          <w:szCs w:val="22"/>
        </w:rPr>
        <w:t xml:space="preserve">Eight years. After formal coroner findings.[4] After Senate testimony.[6] After internal documents.[7] After lawsuits.[19] After settlements. The algorithm is unchanged.</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Adults: The Broader Catastrophe</w:t>
      </w:r>
    </w:p>
    <w:p>
      <w:pPr>
        <w:spacing w:after="140" w:before="100"/>
        <w:jc w:val="left"/>
      </w:pPr>
      <w:r>
        <w:rPr>
          <w:rFonts w:ascii="Arial" w:cs="Arial" w:eastAsia="Arial" w:hAnsi="Arial"/>
          <w:b w:val="false"/>
          <w:bCs w:val="false"/>
          <w:i w:val="false"/>
          <w:iCs w:val="false"/>
          <w:color w:val="1A1A1A"/>
          <w:sz w:val="22"/>
          <w:szCs w:val="22"/>
        </w:rPr>
        <w:t xml:space="preserve">The focus on children is appropriate — their vulnerability is greater, their legal protections are clearer, and their deaths are the most viscerally undeniable evidence of harm. But the damage extends to every user of every platform operating a BMS. The mechanism is identical: a user engages with emotionally charged content; the BMS identifies elevated engagement; the system serves escalating content in the same category.</w:t>
      </w:r>
    </w:p>
    <w:p>
      <w:pPr>
        <w:spacing w:after="140" w:before="100"/>
        <w:jc w:val="left"/>
      </w:pPr>
      <w:r>
        <w:rPr>
          <w:rFonts w:ascii="Arial" w:cs="Arial" w:eastAsia="Arial" w:hAnsi="Arial"/>
          <w:b w:val="false"/>
          <w:bCs w:val="false"/>
          <w:i w:val="false"/>
          <w:iCs w:val="false"/>
          <w:color w:val="1A1A1A"/>
          <w:sz w:val="22"/>
          <w:szCs w:val="22"/>
        </w:rPr>
        <w:t xml:space="preserve">BMS systems have been directly implicated in the radicalization of adults toward political violence. This is not a theoretical pathway. It has been documented in case after case of domestic terrorism.</w:t>
      </w:r>
    </w:p>
    <w:p>
      <w:pPr>
        <w:spacing w:after="140" w:before="100"/>
        <w:jc w:val="left"/>
      </w:pPr>
      <w:r>
        <w:rPr>
          <w:rFonts w:ascii="Arial" w:cs="Arial" w:eastAsia="Arial" w:hAnsi="Arial"/>
          <w:b w:val="false"/>
          <w:bCs w:val="false"/>
          <w:i w:val="false"/>
          <w:iCs w:val="false"/>
          <w:color w:val="1A1A1A"/>
          <w:sz w:val="22"/>
          <w:szCs w:val="22"/>
        </w:rPr>
        <w:t xml:space="preserve">BMS systems have been directly linked to documented genocidal violence. The UN Fact-Finding Mission on Myanmar concluded that Facebook’s algorithm played a determining role in the 2017 genocide, amplifying anti-Rohingya hate speech to users identified as susceptible to engagement with that content.[13]</w:t>
      </w:r>
    </w:p>
    <w:p>
      <w:pPr>
        <w:spacing w:after="140" w:before="100"/>
        <w:jc w:val="left"/>
      </w:pPr>
      <w:r>
        <w:rPr>
          <w:rFonts w:ascii="Arial" w:cs="Arial" w:eastAsia="Arial" w:hAnsi="Arial"/>
          <w:b w:val="false"/>
          <w:bCs w:val="false"/>
          <w:i w:val="false"/>
          <w:iCs w:val="false"/>
          <w:color w:val="1A1A1A"/>
          <w:sz w:val="22"/>
          <w:szCs w:val="22"/>
        </w:rPr>
        <w:t xml:space="preserve">The pattern is not coincidental. It is architectural. A system designed to maximize engagement, with no primary obligation to user wellbeing, will reliably amplify the most emotionally potent content available — regardless of whether that content is true, beneficial, or lethal. The algorithm does not check ages. It does not distinguish between a child and an adult, between a vulnerable person and a resilient one. It checks engagement. That is all it is designed to do.</w:t>
      </w:r>
    </w:p>
    <w:p>
      <w:r>
        <w:br w:type="page"/>
      </w:r>
    </w:p>
    <w:p>
      <w:pPr>
        <w:spacing w:after="60" w:before="320"/>
      </w:pPr>
      <w:r>
        <w:rPr>
          <w:rFonts w:ascii="Arial" w:cs="Arial" w:eastAsia="Arial" w:hAnsi="Arial"/>
          <w:b/>
          <w:bCs/>
          <w:color w:val="2E5FA3"/>
          <w:sz w:val="18"/>
          <w:szCs w:val="18"/>
        </w:rPr>
        <w:t xml:space="preserve">SECTION III</w:t>
      </w:r>
    </w:p>
    <w:p>
      <w:pPr>
        <w:pStyle w:val="Heading1"/>
        <w:spacing w:after="160" w:before="240"/>
      </w:pPr>
      <w:r>
        <w:rPr>
          <w:rFonts w:ascii="Arial" w:cs="Arial" w:eastAsia="Arial" w:hAnsi="Arial"/>
          <w:b/>
          <w:bCs/>
          <w:color w:val="1B3A6B"/>
          <w:sz w:val="36"/>
          <w:szCs w:val="36"/>
        </w:rPr>
        <w:t xml:space="preserve">III. The Human Rights Framework</w:t>
      </w:r>
    </w:p>
    <w:p>
      <w:pPr>
        <w:pStyle w:val="Heading2"/>
        <w:spacing w:after="120" w:before="240"/>
      </w:pPr>
      <w:r>
        <w:rPr>
          <w:rFonts w:ascii="Arial" w:cs="Arial" w:eastAsia="Arial" w:hAnsi="Arial"/>
          <w:b/>
          <w:bCs/>
          <w:color w:val="2E5FA3"/>
          <w:sz w:val="26"/>
          <w:szCs w:val="26"/>
        </w:rPr>
        <w:t xml:space="preserve">What International Law Already Requires</w:t>
      </w:r>
    </w:p>
    <w:p>
      <w:pPr>
        <w:spacing w:after="140" w:before="100"/>
        <w:jc w:val="left"/>
      </w:pPr>
      <w:r>
        <w:rPr>
          <w:rFonts w:ascii="Arial" w:cs="Arial" w:eastAsia="Arial" w:hAnsi="Arial"/>
          <w:b w:val="false"/>
          <w:bCs w:val="false"/>
          <w:i w:val="false"/>
          <w:iCs w:val="false"/>
          <w:color w:val="1A1A1A"/>
          <w:sz w:val="22"/>
          <w:szCs w:val="22"/>
        </w:rPr>
        <w:t xml:space="preserve">The human rights case against Behavioral Manipulation Systems does not require new law. It requires the application of existing international human rights law to a new class of corporate actor. The obligations are established. The violations are documented. The gap is enforcement.</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The Right to Life — ICCPR Article 6, UNCRC Article 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5FA3" w:sz="4"/>
              <w:left w:val="single" w:color="2E5FA3" w:sz="4"/>
              <w:bottom w:val="single" w:color="2E5FA3" w:sz="4"/>
              <w:right w:val="single" w:color="2E5FA3" w:sz="4"/>
            </w:tcBorders>
            <w:shd w:fill="F2F4F8" w:val="clear"/>
            <w:tcMar>
              <w:top w:type="dxa" w:w="140"/>
              <w:left w:type="dxa" w:w="200"/>
              <w:bottom w:type="dxa" w:w="140"/>
              <w:right w:type="dxa" w:w="200"/>
            </w:tcMar>
          </w:tcPr>
          <w:p>
            <w:pPr>
              <w:spacing w:after="80" w:before="0"/>
            </w:pPr>
            <w:r>
              <w:rPr>
                <w:rFonts w:ascii="Arial" w:cs="Arial" w:eastAsia="Arial" w:hAnsi="Arial"/>
                <w:b/>
                <w:bCs/>
                <w:color w:val="2E5FA3"/>
                <w:sz w:val="18"/>
                <w:szCs w:val="18"/>
              </w:rPr>
              <w:t xml:space="preserve">PLAIN LANGUAGE</w:t>
            </w:r>
          </w:p>
          <w:p>
            <w:pPr>
              <w:spacing w:after="0" w:before="0"/>
            </w:pPr>
            <w:r>
              <w:rPr>
                <w:rFonts w:ascii="Arial" w:cs="Arial" w:eastAsia="Arial" w:hAnsi="Arial"/>
                <w:color w:val="1A1A1A"/>
                <w:sz w:val="21"/>
                <w:szCs w:val="21"/>
              </w:rPr>
              <w:t xml:space="preserve">Your child had a legally established right to life. Corporations operating in jurisdictions bound by the ICCPR and UNCRC had a corresponding obligation not to foreseeably endanger it. Serving lethal challenge content to a nine-year-old is not a foreseeable accident. It is a documented, repeating consequence of a system the platforms chose not to change.</w:t>
            </w:r>
          </w:p>
        </w:tc>
      </w:tr>
    </w:tbl>
    <w:p>
      <w:pPr>
        <w:spacing w:after="0" w:before="80"/>
      </w:pPr>
      <w:r>
        <w:t xml:space="preserve"/>
      </w:r>
    </w:p>
    <w:p>
      <w:pPr>
        <w:spacing w:after="140" w:before="100"/>
        <w:jc w:val="left"/>
      </w:pPr>
      <w:r>
        <w:rPr>
          <w:rFonts w:ascii="Arial" w:cs="Arial" w:eastAsia="Arial" w:hAnsi="Arial"/>
          <w:b w:val="false"/>
          <w:bCs w:val="false"/>
          <w:i w:val="false"/>
          <w:iCs w:val="false"/>
          <w:color w:val="1A1A1A"/>
          <w:sz w:val="22"/>
          <w:szCs w:val="22"/>
        </w:rPr>
        <w:t xml:space="preserve">The International Covenant on Civil and Political Rights establishes that every human being has the inherent right to life, and that this right shall be protected by law. The Convention on the Rights of the Child establishes that every child has the inherent right to life, and that States Parties shall ensure, to the maximum extent possible, the survival and development of the child.</w:t>
      </w:r>
    </w:p>
    <w:p>
      <w:pPr>
        <w:spacing w:after="140" w:before="100"/>
        <w:jc w:val="left"/>
      </w:pPr>
      <w:r>
        <w:rPr>
          <w:rFonts w:ascii="Arial" w:cs="Arial" w:eastAsia="Arial" w:hAnsi="Arial"/>
          <w:b w:val="false"/>
          <w:bCs w:val="false"/>
          <w:i w:val="false"/>
          <w:iCs w:val="false"/>
          <w:color w:val="1A1A1A"/>
          <w:sz w:val="22"/>
          <w:szCs w:val="22"/>
        </w:rPr>
        <w:t xml:space="preserve">A BMS that foreseeably serves lethal challenge content to children is not a passive conduit for human expression. It is an active participant in the delivery of lethal content to specific individuals. The foreseeability is not speculative — it is documented in the platforms’ own internal research. The harm is not hypothetical. There are children who are dead.</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The Right to Health — ICESCR Article 12, UNCRC Article 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5FA3" w:sz="4"/>
              <w:left w:val="single" w:color="2E5FA3" w:sz="4"/>
              <w:bottom w:val="single" w:color="2E5FA3" w:sz="4"/>
              <w:right w:val="single" w:color="2E5FA3" w:sz="4"/>
            </w:tcBorders>
            <w:shd w:fill="F2F4F8" w:val="clear"/>
            <w:tcMar>
              <w:top w:type="dxa" w:w="140"/>
              <w:left w:type="dxa" w:w="200"/>
              <w:bottom w:type="dxa" w:w="140"/>
              <w:right w:type="dxa" w:w="200"/>
            </w:tcMar>
          </w:tcPr>
          <w:p>
            <w:pPr>
              <w:spacing w:after="80" w:before="0"/>
            </w:pPr>
            <w:r>
              <w:rPr>
                <w:rFonts w:ascii="Arial" w:cs="Arial" w:eastAsia="Arial" w:hAnsi="Arial"/>
                <w:b/>
                <w:bCs/>
                <w:color w:val="2E5FA3"/>
                <w:sz w:val="18"/>
                <w:szCs w:val="18"/>
              </w:rPr>
              <w:t xml:space="preserve">PLAIN LANGUAGE</w:t>
            </w:r>
          </w:p>
          <w:p>
            <w:pPr>
              <w:spacing w:after="0" w:before="0"/>
            </w:pPr>
            <w:r>
              <w:rPr>
                <w:rFonts w:ascii="Arial" w:cs="Arial" w:eastAsia="Arial" w:hAnsi="Arial"/>
                <w:color w:val="1A1A1A"/>
                <w:sz w:val="21"/>
                <w:szCs w:val="21"/>
              </w:rPr>
              <w:t xml:space="preserve">Your child had a legally established right to the highest attainable standard of mental health. Engineering psychological compulsion in a child — deliberately exploiting neurological vulnerability to create patterns of harmful use that the platform’s own research identifies as damaging — is not a side effect. It is the designed mechanism of the system, and it violates that right.</w:t>
            </w:r>
          </w:p>
        </w:tc>
      </w:tr>
    </w:tbl>
    <w:p>
      <w:pPr>
        <w:spacing w:after="0" w:before="80"/>
      </w:pPr>
      <w:r>
        <w:t xml:space="preserve"/>
      </w:r>
    </w:p>
    <w:p>
      <w:pPr>
        <w:spacing w:after="140" w:before="100"/>
        <w:jc w:val="left"/>
      </w:pPr>
      <w:r>
        <w:rPr>
          <w:rFonts w:ascii="Arial" w:cs="Arial" w:eastAsia="Arial" w:hAnsi="Arial"/>
          <w:b w:val="false"/>
          <w:bCs w:val="false"/>
          <w:i w:val="false"/>
          <w:iCs w:val="false"/>
          <w:color w:val="1A1A1A"/>
          <w:sz w:val="22"/>
          <w:szCs w:val="22"/>
        </w:rPr>
        <w:t xml:space="preserve">The International Covenant on Economic, Social and Cultural Rights recognizes the right of everyone to the enjoyment of the highest attainable standard of physical and mental health. The Convention on the Rights of the Child recognizes the right of the child to the highest attainable standard of health.</w:t>
      </w:r>
    </w:p>
    <w:p>
      <w:pPr>
        <w:spacing w:after="140" w:before="100"/>
        <w:jc w:val="left"/>
      </w:pPr>
      <w:r>
        <w:rPr>
          <w:rFonts w:ascii="Arial" w:cs="Arial" w:eastAsia="Arial" w:hAnsi="Arial"/>
          <w:b w:val="false"/>
          <w:bCs w:val="false"/>
          <w:i w:val="false"/>
          <w:iCs w:val="false"/>
          <w:color w:val="1A1A1A"/>
          <w:sz w:val="22"/>
          <w:szCs w:val="22"/>
        </w:rPr>
        <w:t xml:space="preserve">The engineering of psychological compulsion in children — deliberately exploiting neurological vulnerability to create patterns of use that the platform’s own research identifies as harmful — is an assault on the right to mental health. This is not a side effect. It is the designed mechanism of the system.</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The Right to Privacy and Autonomy — ICCPR Article 17, UNCRC Article 16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5FA3" w:sz="4"/>
              <w:left w:val="single" w:color="2E5FA3" w:sz="4"/>
              <w:bottom w:val="single" w:color="2E5FA3" w:sz="4"/>
              <w:right w:val="single" w:color="2E5FA3" w:sz="4"/>
            </w:tcBorders>
            <w:shd w:fill="F2F4F8" w:val="clear"/>
            <w:tcMar>
              <w:top w:type="dxa" w:w="140"/>
              <w:left w:type="dxa" w:w="200"/>
              <w:bottom w:type="dxa" w:w="140"/>
              <w:right w:type="dxa" w:w="200"/>
            </w:tcMar>
          </w:tcPr>
          <w:p>
            <w:pPr>
              <w:spacing w:after="80" w:before="0"/>
            </w:pPr>
            <w:r>
              <w:rPr>
                <w:rFonts w:ascii="Arial" w:cs="Arial" w:eastAsia="Arial" w:hAnsi="Arial"/>
                <w:b/>
                <w:bCs/>
                <w:color w:val="2E5FA3"/>
                <w:sz w:val="18"/>
                <w:szCs w:val="18"/>
              </w:rPr>
              <w:t xml:space="preserve">PLAIN LANGUAGE</w:t>
            </w:r>
          </w:p>
          <w:p>
            <w:pPr>
              <w:spacing w:after="0" w:before="0"/>
            </w:pPr>
            <w:r>
              <w:rPr>
                <w:rFonts w:ascii="Arial" w:cs="Arial" w:eastAsia="Arial" w:hAnsi="Arial"/>
                <w:color w:val="1A1A1A"/>
                <w:sz w:val="21"/>
                <w:szCs w:val="21"/>
              </w:rPr>
              <w:t xml:space="preserve">No child using a social media platform understands that they are being continuously monitored, psychologically profiled, and behaviorally manipulated. The invisibility is not incidental — it is essential to how the system works. A terms of service agreement that no child can meaningfully evaluate is not informed consent to psychological manipulation.</w:t>
            </w:r>
          </w:p>
        </w:tc>
      </w:tr>
    </w:tbl>
    <w:p>
      <w:pPr>
        <w:spacing w:after="0" w:before="80"/>
      </w:pPr>
      <w:r>
        <w:t xml:space="preserve"/>
      </w:r>
    </w:p>
    <w:p>
      <w:pPr>
        <w:spacing w:after="140" w:before="100"/>
        <w:jc w:val="left"/>
      </w:pPr>
      <w:r>
        <w:rPr>
          <w:rFonts w:ascii="Arial" w:cs="Arial" w:eastAsia="Arial" w:hAnsi="Arial"/>
          <w:b w:val="false"/>
          <w:bCs w:val="false"/>
          <w:i w:val="false"/>
          <w:iCs w:val="false"/>
          <w:color w:val="1A1A1A"/>
          <w:sz w:val="22"/>
          <w:szCs w:val="22"/>
        </w:rPr>
        <w:t xml:space="preserve">No child — and no adult — using a social media platform understands that they are being continuously monitored, psychologically profiled, and behaviorally manipulated. The decision layer is invisible by design. Consent to this process cannot be manufactured through a terms of service agreement that no human being reads, that no child can meaningfully evaluate, and that no regulator has approved as a sufficient basis for covert psychological manipulation.</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The Best Interests of the Child — UNCRC Article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5FA3" w:sz="4"/>
              <w:left w:val="single" w:color="2E5FA3" w:sz="4"/>
              <w:bottom w:val="single" w:color="2E5FA3" w:sz="4"/>
              <w:right w:val="single" w:color="2E5FA3" w:sz="4"/>
            </w:tcBorders>
            <w:shd w:fill="F2F4F8" w:val="clear"/>
            <w:tcMar>
              <w:top w:type="dxa" w:w="140"/>
              <w:left w:type="dxa" w:w="200"/>
              <w:bottom w:type="dxa" w:w="140"/>
              <w:right w:type="dxa" w:w="200"/>
            </w:tcMar>
          </w:tcPr>
          <w:p>
            <w:pPr>
              <w:spacing w:after="80" w:before="0"/>
            </w:pPr>
            <w:r>
              <w:rPr>
                <w:rFonts w:ascii="Arial" w:cs="Arial" w:eastAsia="Arial" w:hAnsi="Arial"/>
                <w:b/>
                <w:bCs/>
                <w:color w:val="2E5FA3"/>
                <w:sz w:val="18"/>
                <w:szCs w:val="18"/>
              </w:rPr>
              <w:t xml:space="preserve">PLAIN LANGUAGE</w:t>
            </w:r>
          </w:p>
          <w:p>
            <w:pPr>
              <w:spacing w:after="0" w:before="0"/>
            </w:pPr>
            <w:r>
              <w:rPr>
                <w:rFonts w:ascii="Arial" w:cs="Arial" w:eastAsia="Arial" w:hAnsi="Arial"/>
                <w:color w:val="1A1A1A"/>
                <w:sz w:val="21"/>
                <w:szCs w:val="21"/>
              </w:rPr>
              <w:t xml:space="preserve">There is no coherent argument that serving a depressed fourteen-year-old escalating self-harm content is in her best interest. The platforms know this. Their own research confirms it. They have chosen engagement metrics over the best interests of children, repeatedly and deliberately.</w:t>
            </w:r>
          </w:p>
        </w:tc>
      </w:tr>
    </w:tbl>
    <w:p>
      <w:pPr>
        <w:spacing w:after="0" w:before="80"/>
      </w:pPr>
      <w:r>
        <w:t xml:space="preserve"/>
      </w:r>
    </w:p>
    <w:p>
      <w:pPr>
        <w:spacing w:after="140" w:before="100"/>
        <w:jc w:val="left"/>
      </w:pPr>
      <w:r>
        <w:rPr>
          <w:rFonts w:ascii="Arial" w:cs="Arial" w:eastAsia="Arial" w:hAnsi="Arial"/>
          <w:b w:val="false"/>
          <w:bCs w:val="false"/>
          <w:i w:val="false"/>
          <w:iCs w:val="false"/>
          <w:color w:val="1A1A1A"/>
          <w:sz w:val="22"/>
          <w:szCs w:val="22"/>
        </w:rPr>
        <w:t xml:space="preserve">Article 3 of the Convention on the Rights of the Child requires that in all actions concerning children, the best interests of the child shall be a primary consideration. The platforms have access to their own research. They know what their systems do to vulnerable children. They have chosen engagement metrics over best interests.</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Corporate Duty to Do No Harm — UN Guiding Principles on Business and Human Rights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5FA3" w:sz="4"/>
              <w:left w:val="single" w:color="2E5FA3" w:sz="4"/>
              <w:bottom w:val="single" w:color="2E5FA3" w:sz="4"/>
              <w:right w:val="single" w:color="2E5FA3" w:sz="4"/>
            </w:tcBorders>
            <w:shd w:fill="F2F4F8" w:val="clear"/>
            <w:tcMar>
              <w:top w:type="dxa" w:w="140"/>
              <w:left w:type="dxa" w:w="200"/>
              <w:bottom w:type="dxa" w:w="140"/>
              <w:right w:type="dxa" w:w="200"/>
            </w:tcMar>
          </w:tcPr>
          <w:p>
            <w:pPr>
              <w:spacing w:after="80" w:before="0"/>
            </w:pPr>
            <w:r>
              <w:rPr>
                <w:rFonts w:ascii="Arial" w:cs="Arial" w:eastAsia="Arial" w:hAnsi="Arial"/>
                <w:b/>
                <w:bCs/>
                <w:color w:val="2E5FA3"/>
                <w:sz w:val="18"/>
                <w:szCs w:val="18"/>
              </w:rPr>
              <w:t xml:space="preserve">PLAIN LANGUAGE</w:t>
            </w:r>
          </w:p>
          <w:p>
            <w:pPr>
              <w:spacing w:after="0" w:before="0"/>
            </w:pPr>
            <w:r>
              <w:rPr>
                <w:rFonts w:ascii="Arial" w:cs="Arial" w:eastAsia="Arial" w:hAnsi="Arial"/>
                <w:color w:val="1A1A1A"/>
                <w:sz w:val="21"/>
                <w:szCs w:val="21"/>
              </w:rPr>
              <w:t xml:space="preserve">The UN Guiding Principles require corporations to identify and address human rights harms their operations cause. These platforms have done the identification. They have the internal documents. They have chosen not to address the harm because doing so would reduce revenue. That choice is the violation.</w:t>
            </w:r>
          </w:p>
        </w:tc>
      </w:tr>
    </w:tbl>
    <w:p>
      <w:pPr>
        <w:spacing w:after="0" w:before="80"/>
      </w:pPr>
      <w:r>
        <w:t xml:space="preserve"/>
      </w:r>
    </w:p>
    <w:p>
      <w:pPr>
        <w:spacing w:after="140" w:before="100"/>
        <w:jc w:val="left"/>
      </w:pPr>
      <w:r>
        <w:rPr>
          <w:rFonts w:ascii="Arial" w:cs="Arial" w:eastAsia="Arial" w:hAnsi="Arial"/>
          <w:b w:val="false"/>
          <w:bCs w:val="false"/>
          <w:i w:val="false"/>
          <w:iCs w:val="false"/>
          <w:color w:val="1A1A1A"/>
          <w:sz w:val="22"/>
          <w:szCs w:val="22"/>
        </w:rPr>
        <w:t xml:space="preserve">The UN Guiding Principles on Business and Human Rights, established in 2011 and endorsed by the UN Human Rights Council, establish that businesses have a responsibility to respect human rights — meaning they should avoid infringing on the human rights of others and should address adverse human rights impacts with which they are involved.</w:t>
      </w:r>
    </w:p>
    <w:p>
      <w:pPr>
        <w:spacing w:after="140" w:before="100"/>
        <w:jc w:val="left"/>
      </w:pPr>
      <w:r>
        <w:rPr>
          <w:rFonts w:ascii="Arial" w:cs="Arial" w:eastAsia="Arial" w:hAnsi="Arial"/>
          <w:b w:val="false"/>
          <w:bCs w:val="false"/>
          <w:i w:val="false"/>
          <w:iCs w:val="false"/>
          <w:color w:val="1A1A1A"/>
          <w:sz w:val="22"/>
          <w:szCs w:val="22"/>
        </w:rPr>
        <w:t xml:space="preserve">The UNGPs require companies to conduct ongoing human rights due diligence. The platforms have conducted this due diligence. They have the internal documents. They have identified the adverse impacts. They have chosen not to prevent or mitigate them because doing so would reduce engagement.</w:t>
      </w:r>
    </w:p>
    <w:p>
      <w:r>
        <w:br w:type="page"/>
      </w:r>
    </w:p>
    <w:p>
      <w:pPr>
        <w:spacing w:after="60" w:before="320"/>
      </w:pPr>
      <w:r>
        <w:rPr>
          <w:rFonts w:ascii="Arial" w:cs="Arial" w:eastAsia="Arial" w:hAnsi="Arial"/>
          <w:b/>
          <w:bCs/>
          <w:color w:val="2E5FA3"/>
          <w:sz w:val="18"/>
          <w:szCs w:val="18"/>
        </w:rPr>
        <w:t xml:space="preserve">SECTION IV</w:t>
      </w:r>
    </w:p>
    <w:p>
      <w:pPr>
        <w:pStyle w:val="Heading1"/>
        <w:spacing w:after="160" w:before="240"/>
      </w:pPr>
      <w:r>
        <w:rPr>
          <w:rFonts w:ascii="Arial" w:cs="Arial" w:eastAsia="Arial" w:hAnsi="Arial"/>
          <w:b/>
          <w:bCs/>
          <w:color w:val="1B3A6B"/>
          <w:sz w:val="36"/>
          <w:szCs w:val="36"/>
        </w:rPr>
        <w:t xml:space="preserve">IV. What They Knew</w:t>
      </w:r>
    </w:p>
    <w:p>
      <w:pPr>
        <w:pStyle w:val="Heading2"/>
        <w:spacing w:after="120" w:before="240"/>
      </w:pPr>
      <w:r>
        <w:rPr>
          <w:rFonts w:ascii="Arial" w:cs="Arial" w:eastAsia="Arial" w:hAnsi="Arial"/>
          <w:b/>
          <w:bCs/>
          <w:color w:val="2E5FA3"/>
          <w:sz w:val="26"/>
          <w:szCs w:val="26"/>
        </w:rPr>
        <w:t xml:space="preserve">The Accountability Record</w:t>
      </w:r>
    </w:p>
    <w:p>
      <w:pPr>
        <w:spacing w:after="140" w:before="100"/>
        <w:jc w:val="left"/>
      </w:pPr>
      <w:r>
        <w:rPr>
          <w:rFonts w:ascii="Arial" w:cs="Arial" w:eastAsia="Arial" w:hAnsi="Arial"/>
          <w:b w:val="false"/>
          <w:bCs w:val="false"/>
          <w:i w:val="false"/>
          <w:iCs w:val="false"/>
          <w:color w:val="1A1A1A"/>
          <w:sz w:val="22"/>
          <w:szCs w:val="22"/>
        </w:rPr>
        <w:t xml:space="preserve">The platforms will argue that they did not know. They will argue that the harms were unforeseeable, that they acted in good faith, that they are working to improve. This argument is not available to them. The record is too complete.</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The Facebook Papers</w:t>
      </w:r>
    </w:p>
    <w:p>
      <w:pPr>
        <w:spacing w:after="140" w:before="100"/>
        <w:jc w:val="left"/>
      </w:pPr>
      <w:r>
        <w:rPr>
          <w:rFonts w:ascii="Arial" w:cs="Arial" w:eastAsia="Arial" w:hAnsi="Arial"/>
          <w:b w:val="false"/>
          <w:bCs w:val="false"/>
          <w:i w:val="false"/>
          <w:iCs w:val="false"/>
          <w:color w:val="1A1A1A"/>
          <w:sz w:val="22"/>
          <w:szCs w:val="22"/>
        </w:rPr>
        <w:t xml:space="preserve">In October 2021, Frances Haugen, a former product manager at Meta, provided tens of thousands of internal company documents to the United States Securities and Exchange Commission and to a consortium of news organizations. Those documents established:</w:t>
      </w:r>
    </w:p>
    <w:p>
      <w:pPr>
        <w:pStyle w:val="ListParagraph"/>
        <w:numPr>
          <w:ilvl w:val="0"/>
          <w:numId w:val="2"/>
        </w:numPr>
        <w:spacing w:after="60" w:before="60"/>
      </w:pPr>
      <w:r>
        <w:rPr>
          <w:rFonts w:ascii="Arial" w:cs="Arial" w:eastAsia="Arial" w:hAnsi="Arial"/>
          <w:color w:val="1A1A1A"/>
          <w:sz w:val="22"/>
          <w:szCs w:val="22"/>
        </w:rPr>
        <w:t xml:space="preserve">Meta’s own researchers had determined that Instagram was harmful to the mental health of teenage girls, specifically including body image and suicide risk, and that the harm was directly related to the BMS’s content selection.</w:t>
      </w:r>
    </w:p>
    <w:p>
      <w:pPr>
        <w:pStyle w:val="ListParagraph"/>
        <w:numPr>
          <w:ilvl w:val="0"/>
          <w:numId w:val="2"/>
        </w:numPr>
        <w:spacing w:after="60" w:before="60"/>
      </w:pPr>
      <w:r>
        <w:rPr>
          <w:rFonts w:ascii="Arial" w:cs="Arial" w:eastAsia="Arial" w:hAnsi="Arial"/>
          <w:color w:val="1A1A1A"/>
          <w:sz w:val="22"/>
          <w:szCs w:val="22"/>
        </w:rPr>
        <w:t xml:space="preserve">Meta was aware that its BMS created radicalization pathways — that users who engaged with political content were served escalating extremist content — and had studied these pathways in detail.</w:t>
      </w:r>
    </w:p>
    <w:p>
      <w:pPr>
        <w:pStyle w:val="ListParagraph"/>
        <w:numPr>
          <w:ilvl w:val="0"/>
          <w:numId w:val="2"/>
        </w:numPr>
        <w:spacing w:after="60" w:before="60"/>
      </w:pPr>
      <w:r>
        <w:rPr>
          <w:rFonts w:ascii="Arial" w:cs="Arial" w:eastAsia="Arial" w:hAnsi="Arial"/>
          <w:color w:val="1A1A1A"/>
          <w:sz w:val="22"/>
          <w:szCs w:val="22"/>
        </w:rPr>
        <w:t xml:space="preserve">Meta had studied the engagement patterns of its most addicted users and had identified that addiction — not connection, not community, not information — was the primary driver of its revenue.</w:t>
      </w:r>
    </w:p>
    <w:p>
      <w:pPr>
        <w:pStyle w:val="ListParagraph"/>
        <w:numPr>
          <w:ilvl w:val="0"/>
          <w:numId w:val="2"/>
        </w:numPr>
        <w:spacing w:after="60" w:before="60"/>
      </w:pPr>
      <w:r>
        <w:rPr>
          <w:rFonts w:ascii="Arial" w:cs="Arial" w:eastAsia="Arial" w:hAnsi="Arial"/>
          <w:color w:val="1A1A1A"/>
          <w:sz w:val="22"/>
          <w:szCs w:val="22"/>
        </w:rPr>
        <w:t xml:space="preserve">Internal recommendations to modify the BMS to reduce harm were repeatedly overruled on the grounds that they would reduce engagement metrics and therefore advertising revenue.</w:t>
      </w:r>
    </w:p>
    <w:p>
      <w:pPr>
        <w:spacing w:after="0" w:before="80"/>
      </w:pPr>
      <w:r>
        <w:t xml:space="preserve"/>
      </w:r>
    </w:p>
    <w:p>
      <w:pPr>
        <w:spacing w:after="140" w:before="100"/>
        <w:jc w:val="left"/>
      </w:pPr>
      <w:r>
        <w:rPr>
          <w:rFonts w:ascii="Arial" w:cs="Arial" w:eastAsia="Arial" w:hAnsi="Arial"/>
          <w:b w:val="false"/>
          <w:bCs w:val="false"/>
          <w:i w:val="false"/>
          <w:iCs w:val="false"/>
          <w:color w:val="1A1A1A"/>
          <w:sz w:val="22"/>
          <w:szCs w:val="22"/>
        </w:rPr>
        <w:t xml:space="preserve">The documents did not reveal a company that was unaware of harm. They revealed a company that studied harm, quantified harm, was warned about harm by its own employees, and chose to continue because the harm was profitable.</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The Molly Russell Inquest</w:t>
      </w:r>
    </w:p>
    <w:p>
      <w:pPr>
        <w:spacing w:after="140" w:before="100"/>
        <w:jc w:val="left"/>
      </w:pPr>
      <w:r>
        <w:rPr>
          <w:rFonts w:ascii="Arial" w:cs="Arial" w:eastAsia="Arial" w:hAnsi="Arial"/>
          <w:b w:val="false"/>
          <w:bCs w:val="false"/>
          <w:i w:val="false"/>
          <w:iCs w:val="false"/>
          <w:color w:val="1A1A1A"/>
          <w:sz w:val="22"/>
          <w:szCs w:val="22"/>
        </w:rPr>
        <w:t xml:space="preserve">In September 2022, London Coroner Andrew Walker delivered the findings of his inquest into the death of Molly Russell. He ruled that she died from an act of self-harm while suffering from depression and the negative effects of online content. He specifically identified the algorithmic curation of self-harm and suicide content as a contributing cause of her death — the first time in history a coroner had formally attributed a child’s death to algorithmic violence.[4]</w:t>
      </w:r>
    </w:p>
    <w:p>
      <w:pPr>
        <w:spacing w:after="140" w:before="100"/>
        <w:jc w:val="left"/>
      </w:pPr>
      <w:r>
        <w:rPr>
          <w:rFonts w:ascii="Arial" w:cs="Arial" w:eastAsia="Arial" w:hAnsi="Arial"/>
          <w:b w:val="false"/>
          <w:bCs w:val="false"/>
          <w:i w:val="false"/>
          <w:iCs w:val="false"/>
          <w:color w:val="1A1A1A"/>
          <w:sz w:val="22"/>
          <w:szCs w:val="22"/>
        </w:rPr>
        <w:t xml:space="preserve">The inquest established that the BMS had served Molly content she had not requested, that it had created extended periods of escalating harmful content, and that this content was served by a system with no mechanism to identify the harm it was causing to a specific vulnerable user.</w:t>
      </w:r>
    </w:p>
    <w:p>
      <w:pPr>
        <w:spacing w:after="140" w:before="100"/>
        <w:jc w:val="left"/>
      </w:pPr>
      <w:r>
        <w:rPr>
          <w:rFonts w:ascii="Arial" w:cs="Arial" w:eastAsia="Arial" w:hAnsi="Arial"/>
          <w:b w:val="false"/>
          <w:bCs w:val="false"/>
          <w:i w:val="false"/>
          <w:iCs w:val="false"/>
          <w:color w:val="1A1A1A"/>
          <w:sz w:val="22"/>
          <w:szCs w:val="22"/>
        </w:rPr>
        <w:t xml:space="preserve">Meta was present at the inquest. They had access to the evidence. They knew what their system had done to one specific child. The algorithm is unchanged.</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Senate Testimony and the Pattern of Non-Accountability</w:t>
      </w:r>
    </w:p>
    <w:p>
      <w:pPr>
        <w:spacing w:after="140" w:before="100"/>
        <w:jc w:val="left"/>
      </w:pPr>
      <w:r>
        <w:rPr>
          <w:rFonts w:ascii="Arial" w:cs="Arial" w:eastAsia="Arial" w:hAnsi="Arial"/>
          <w:b w:val="false"/>
          <w:bCs w:val="false"/>
          <w:i w:val="false"/>
          <w:iCs w:val="false"/>
          <w:color w:val="1A1A1A"/>
          <w:sz w:val="22"/>
          <w:szCs w:val="22"/>
        </w:rPr>
        <w:t xml:space="preserve">In January 2024, the CEOs of Meta, TikTok, Snap, Discord, and X appeared before the United States Senate Judiciary Committee. Mark Zuckerberg turned to the families of children harmed by his platform’s algorithm and expressed regret for what those families had experienced.</w:t>
      </w:r>
    </w:p>
    <w:p>
      <w:pPr>
        <w:spacing w:after="140" w:before="100"/>
        <w:jc w:val="left"/>
      </w:pPr>
      <w:r>
        <w:rPr>
          <w:rFonts w:ascii="Arial" w:cs="Arial" w:eastAsia="Arial" w:hAnsi="Arial"/>
          <w:b w:val="false"/>
          <w:bCs w:val="false"/>
          <w:i w:val="false"/>
          <w:iCs w:val="false"/>
          <w:color w:val="1A1A1A"/>
          <w:sz w:val="22"/>
          <w:szCs w:val="22"/>
        </w:rPr>
        <w:t xml:space="preserve">He did not acknowledge the BMS as the cause of the harm the families were describing. He did not commit to changing the BMS. He expressed regret for the parents’ pain without accepting causal responsibility for the mechanism that caused it. The distinction is legally significant: regret is not acknowledgment of causation. His statement was carefully constructed to foreclose neither liability nor future similar performances.</w:t>
      </w:r>
    </w:p>
    <w:p>
      <w:pPr>
        <w:spacing w:after="140" w:before="100"/>
        <w:jc w:val="left"/>
      </w:pPr>
      <w:r>
        <w:rPr>
          <w:rFonts w:ascii="Arial" w:cs="Arial" w:eastAsia="Arial" w:hAnsi="Arial"/>
          <w:b w:val="false"/>
          <w:bCs w:val="false"/>
          <w:i w:val="false"/>
          <w:iCs w:val="false"/>
          <w:color w:val="1A1A1A"/>
          <w:sz w:val="22"/>
          <w:szCs w:val="22"/>
        </w:rPr>
        <w:t xml:space="preserve">TikTok and Snap settled a major California lawsuit for undisclosed sums just before trial opened in early 2026 — days after JackLynn Blackwell died — rather than explain their algorithms under oath in open court.[22]</w:t>
      </w:r>
    </w:p>
    <w:p>
      <w:r>
        <w:br w:type="page"/>
      </w:r>
    </w:p>
    <w:p>
      <w:pPr>
        <w:spacing w:after="60" w:before="320"/>
      </w:pPr>
      <w:r>
        <w:rPr>
          <w:rFonts w:ascii="Arial" w:cs="Arial" w:eastAsia="Arial" w:hAnsi="Arial"/>
          <w:b/>
          <w:bCs/>
          <w:color w:val="2E5FA3"/>
          <w:sz w:val="18"/>
          <w:szCs w:val="18"/>
        </w:rPr>
        <w:t xml:space="preserve">SECTION V</w:t>
      </w:r>
    </w:p>
    <w:p>
      <w:pPr>
        <w:pStyle w:val="Heading1"/>
        <w:spacing w:after="160" w:before="240"/>
      </w:pPr>
      <w:r>
        <w:rPr>
          <w:rFonts w:ascii="Arial" w:cs="Arial" w:eastAsia="Arial" w:hAnsi="Arial"/>
          <w:b/>
          <w:bCs/>
          <w:color w:val="1B3A6B"/>
          <w:sz w:val="36"/>
          <w:szCs w:val="36"/>
        </w:rPr>
        <w:t xml:space="preserve">V. The Free Speech Reframe</w:t>
      </w:r>
    </w:p>
    <w:p>
      <w:pPr>
        <w:pStyle w:val="Heading2"/>
        <w:spacing w:after="120" w:before="240"/>
      </w:pPr>
      <w:r>
        <w:rPr>
          <w:rFonts w:ascii="Arial" w:cs="Arial" w:eastAsia="Arial" w:hAnsi="Arial"/>
          <w:b/>
          <w:bCs/>
          <w:color w:val="2E5FA3"/>
          <w:sz w:val="26"/>
          <w:szCs w:val="26"/>
        </w:rPr>
        <w:t xml:space="preserve">Why the First Amendment Does Not Protect Behavioral Manipulation Systems</w:t>
      </w:r>
    </w:p>
    <w:p>
      <w:pPr>
        <w:spacing w:after="140" w:before="100"/>
        <w:jc w:val="left"/>
      </w:pPr>
      <w:r>
        <w:rPr>
          <w:rFonts w:ascii="Arial" w:cs="Arial" w:eastAsia="Arial" w:hAnsi="Arial"/>
          <w:b w:val="false"/>
          <w:bCs w:val="false"/>
          <w:i w:val="false"/>
          <w:iCs w:val="false"/>
          <w:color w:val="1A1A1A"/>
          <w:sz w:val="22"/>
          <w:szCs w:val="22"/>
        </w:rPr>
        <w:t xml:space="preserve">The most powerful legal weapon the platforms have deployed against protective legislation is the First Amendment. Every legislative attempt to regulate BMS behavior has been challenged on the grounds that algorithmic curation is protected speech — that the platform’s decision about what to show you is an editorial act, and regulating that act is unconstitutional content restriction.</w:t>
      </w:r>
    </w:p>
    <w:p>
      <w:pPr>
        <w:spacing w:after="140" w:before="100"/>
        <w:jc w:val="left"/>
      </w:pPr>
      <w:r>
        <w:rPr>
          <w:rFonts w:ascii="Arial" w:cs="Arial" w:eastAsia="Arial" w:hAnsi="Arial"/>
          <w:b w:val="false"/>
          <w:bCs w:val="false"/>
          <w:i w:val="false"/>
          <w:iCs w:val="false"/>
          <w:color w:val="1A1A1A"/>
          <w:sz w:val="22"/>
          <w:szCs w:val="22"/>
        </w:rPr>
        <w:t xml:space="preserve">This argument succeeds, when it does, because legislators have consistently framed their interventions as restrictions on content — banning certain types of material, restricting access to certain categories of speech. That framing is vulnerable to First Amendment challenge because it is, in fact, a restriction on what can be said.</w:t>
      </w:r>
    </w:p>
    <w:p>
      <w:pPr>
        <w:spacing w:after="140" w:before="100"/>
        <w:jc w:val="left"/>
      </w:pPr>
      <w:r>
        <w:rPr>
          <w:rFonts w:ascii="Arial" w:cs="Arial" w:eastAsia="Arial" w:hAnsi="Arial"/>
          <w:b w:val="false"/>
          <w:bCs w:val="false"/>
          <w:i w:val="false"/>
          <w:iCs w:val="false"/>
          <w:color w:val="1A1A1A"/>
          <w:sz w:val="22"/>
          <w:szCs w:val="22"/>
        </w:rPr>
        <w:t xml:space="preserve">The Hoffman Lenses Initiative proposes a different framing entirely, one that removes the First Amendment defense while leaving the speech itself untouched: regulate the delivery mechanism, not the content.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5FA3" w:sz="4"/>
              <w:left w:val="single" w:color="2E5FA3" w:sz="4"/>
              <w:bottom w:val="single" w:color="2E5FA3" w:sz="4"/>
              <w:right w:val="single" w:color="2E5FA3" w:sz="4"/>
            </w:tcBorders>
            <w:shd w:fill="F2F4F8" w:val="clear"/>
            <w:tcMar>
              <w:top w:type="dxa" w:w="140"/>
              <w:left w:type="dxa" w:w="200"/>
              <w:bottom w:type="dxa" w:w="140"/>
              <w:right w:type="dxa" w:w="200"/>
            </w:tcMar>
          </w:tcPr>
          <w:p>
            <w:pPr>
              <w:spacing w:after="80" w:before="0"/>
            </w:pPr>
            <w:r>
              <w:rPr>
                <w:rFonts w:ascii="Arial" w:cs="Arial" w:eastAsia="Arial" w:hAnsi="Arial"/>
                <w:b/>
                <w:bCs/>
                <w:color w:val="2E5FA3"/>
                <w:sz w:val="18"/>
                <w:szCs w:val="18"/>
              </w:rPr>
              <w:t xml:space="preserve">THE CORE LEGAL DISTINCTION</w:t>
            </w:r>
          </w:p>
          <w:p>
            <w:pPr>
              <w:spacing w:after="0" w:before="0"/>
            </w:pPr>
            <w:r>
              <w:rPr>
                <w:rFonts w:ascii="Arial" w:cs="Arial" w:eastAsia="Arial" w:hAnsi="Arial"/>
                <w:color w:val="1A1A1A"/>
                <w:sz w:val="21"/>
                <w:szCs w:val="21"/>
              </w:rPr>
              <w:t xml:space="preserve">We are not regulating speech. We are regulating a delivery mechanism that operates between the speaker and the listener, selecting and amplifying content based on predicted psychological response. That mechanism is not speech. It is a machine. It has no views. It has no voice. It is a system for maximizing engagement, and it causes harm not because of what it says but because of how it works. A BMS is not a speaker making editorial choices. It is an automated system optimizing for a commercial metric. Regulating that system is not restricting speech. It is regulating industrial equipment that happens to process speech as its raw material.</w:t>
            </w:r>
          </w:p>
        </w:tc>
      </w:tr>
    </w:tbl>
    <w:p>
      <w:pPr>
        <w:spacing w:after="0" w:before="100"/>
      </w:pPr>
      <w:r>
        <w:t xml:space="preserve"/>
      </w:r>
    </w:p>
    <w:p>
      <w:pPr>
        <w:spacing w:after="140" w:before="100"/>
        <w:jc w:val="left"/>
      </w:pPr>
      <w:r>
        <w:rPr>
          <w:rFonts w:ascii="Arial" w:cs="Arial" w:eastAsia="Arial" w:hAnsi="Arial"/>
          <w:b w:val="false"/>
          <w:bCs w:val="false"/>
          <w:i w:val="false"/>
          <w:iCs w:val="false"/>
          <w:color w:val="1A1A1A"/>
          <w:sz w:val="22"/>
          <w:szCs w:val="22"/>
        </w:rPr>
        <w:t xml:space="preserve">This framing has significant implications for recent litigation. The platforms have invoked the First Amendment to challenge legislation in multiple jurisdictions, with mixed results. The cases that have been most vulnerable to challenge are those that targeted content categories. Legislation targeting the BMS mechanism itself — the data collection, the profile construction, the response-optimized selection process — operates on different constitutional terrain.</w:t>
      </w:r>
    </w:p>
    <w:p>
      <w:pPr>
        <w:spacing w:after="140" w:before="100"/>
        <w:jc w:val="left"/>
      </w:pPr>
      <w:r>
        <w:rPr>
          <w:rFonts w:ascii="Arial" w:cs="Arial" w:eastAsia="Arial" w:hAnsi="Arial"/>
          <w:b w:val="false"/>
          <w:bCs w:val="false"/>
          <w:i w:val="false"/>
          <w:iCs w:val="false"/>
          <w:color w:val="1A1A1A"/>
          <w:sz w:val="22"/>
          <w:szCs w:val="22"/>
        </w:rPr>
        <w:t xml:space="preserve">Furthermore: no corporation has a First Amendment right to psychologically manipulate a child without the child’s knowledge or consent. No speech right extends to covert behavioral surveillance and exploitation of minors. The First Amendment protects the right to speak. It does not protect the right to engineer addiction in children for profit.</w:t>
      </w:r>
    </w:p>
    <w:p>
      <w:pPr>
        <w:spacing w:after="0" w:before="80"/>
      </w:pPr>
      <w:r>
        <w:t xml:space="preserve"/>
      </w:r>
    </w:p>
    <w:p>
      <w:pPr>
        <w:pBdr>
          <w:left w:val="single" w:color="C0392B" w:sz="12" w:space="6"/>
        </w:pBdr>
        <w:spacing w:after="60" w:before="160"/>
        <w:ind w:left="600"/>
      </w:pPr>
      <w:r>
        <w:rPr>
          <w:rFonts w:ascii="Arial" w:cs="Arial" w:eastAsia="Arial" w:hAnsi="Arial"/>
          <w:i/>
          <w:iCs/>
          <w:color w:val="444444"/>
          <w:sz w:val="22"/>
          <w:szCs w:val="22"/>
        </w:rPr>
        <w:t xml:space="preserve">“We have had the social media platforms launched now quite a few years ago, but I don’t think at the stage when they were launched, anyone properly thought through what the consequences for human rights would be.”</w:t>
      </w:r>
    </w:p>
    <w:p>
      <w:pPr>
        <w:spacing w:after="200" w:before="0"/>
        <w:ind w:left="600"/>
      </w:pPr>
      <w:r>
        <w:rPr>
          <w:rFonts w:ascii="Arial" w:cs="Arial" w:eastAsia="Arial" w:hAnsi="Arial"/>
          <w:color w:val="888888"/>
          <w:sz w:val="20"/>
          <w:szCs w:val="20"/>
        </w:rPr>
        <w:t xml:space="preserve">— Volker Türk, UN High Commissioner for Human Rights, December 2025.[14]</w:t>
      </w:r>
    </w:p>
    <w:p>
      <w:pPr>
        <w:spacing w:after="140" w:before="100"/>
        <w:jc w:val="left"/>
      </w:pPr>
      <w:r>
        <w:rPr>
          <w:rFonts w:ascii="Arial" w:cs="Arial" w:eastAsia="Arial" w:hAnsi="Arial"/>
          <w:b w:val="false"/>
          <w:bCs w:val="false"/>
          <w:i w:val="false"/>
          <w:iCs w:val="false"/>
          <w:color w:val="1A1A1A"/>
          <w:sz w:val="22"/>
          <w:szCs w:val="22"/>
        </w:rPr>
        <w:t xml:space="preserve">The Section 230 question requires the same analytical precision. Section 230 of the Communications Decency Act provides broad immunity to platforms for liability arising from user-generated content. It was designed to protect platforms from being held responsible for what their users say.</w:t>
      </w:r>
    </w:p>
    <w:p>
      <w:pPr>
        <w:spacing w:after="140" w:before="100"/>
        <w:jc w:val="left"/>
      </w:pPr>
      <w:r>
        <w:rPr>
          <w:rFonts w:ascii="Arial" w:cs="Arial" w:eastAsia="Arial" w:hAnsi="Arial"/>
          <w:b w:val="false"/>
          <w:bCs w:val="false"/>
          <w:i w:val="false"/>
          <w:iCs w:val="false"/>
          <w:color w:val="1A1A1A"/>
          <w:sz w:val="22"/>
          <w:szCs w:val="22"/>
        </w:rPr>
        <w:t xml:space="preserve">It was not designed to protect platforms from liability for the operation of their own proprietary systems that select, amplify, and deliver that content to targeted individuals based on predicted psychological vulnerability. The BMS is not user-generated content. It is the platform’s own product. Section 230 immunity for BMS-caused harm is a legal argument, not a settled doctrine — and it is an argument that courts have begun to scrutinize. The Third Circuit’s 2024 ruling in Anderson v. TikTok, which allowed the algorithmic liability claim to proceed, signals that the immunity argument is not as durable as platforms have assumed.[19]</w:t>
      </w:r>
    </w:p>
    <w:p>
      <w:r>
        <w:br w:type="page"/>
      </w:r>
    </w:p>
    <w:p>
      <w:pPr>
        <w:spacing w:after="60" w:before="320"/>
      </w:pPr>
      <w:r>
        <w:rPr>
          <w:rFonts w:ascii="Arial" w:cs="Arial" w:eastAsia="Arial" w:hAnsi="Arial"/>
          <w:b/>
          <w:bCs/>
          <w:color w:val="2E5FA3"/>
          <w:sz w:val="18"/>
          <w:szCs w:val="18"/>
        </w:rPr>
        <w:t xml:space="preserve">SECTION VI</w:t>
      </w:r>
    </w:p>
    <w:p>
      <w:pPr>
        <w:pStyle w:val="Heading1"/>
        <w:spacing w:after="160" w:before="240"/>
      </w:pPr>
      <w:r>
        <w:rPr>
          <w:rFonts w:ascii="Arial" w:cs="Arial" w:eastAsia="Arial" w:hAnsi="Arial"/>
          <w:b/>
          <w:bCs/>
          <w:color w:val="1B3A6B"/>
          <w:sz w:val="36"/>
          <w:szCs w:val="36"/>
        </w:rPr>
        <w:t xml:space="preserve">VI. The Solution</w:t>
      </w:r>
    </w:p>
    <w:p>
      <w:pPr>
        <w:pStyle w:val="Heading2"/>
        <w:spacing w:after="120" w:before="240"/>
      </w:pPr>
      <w:r>
        <w:rPr>
          <w:rFonts w:ascii="Arial" w:cs="Arial" w:eastAsia="Arial" w:hAnsi="Arial"/>
          <w:b/>
          <w:bCs/>
          <w:color w:val="2E5FA3"/>
          <w:sz w:val="26"/>
          <w:szCs w:val="26"/>
        </w:rPr>
        <w:t xml:space="preserve">What Must Replace the Machine</w:t>
      </w:r>
    </w:p>
    <w:p>
      <w:pPr>
        <w:spacing w:after="140" w:before="100"/>
        <w:jc w:val="left"/>
      </w:pPr>
      <w:r>
        <w:rPr>
          <w:rFonts w:ascii="Arial" w:cs="Arial" w:eastAsia="Arial" w:hAnsi="Arial"/>
          <w:b w:val="false"/>
          <w:bCs w:val="false"/>
          <w:i w:val="false"/>
          <w:iCs w:val="false"/>
          <w:color w:val="1A1A1A"/>
          <w:sz w:val="22"/>
          <w:szCs w:val="22"/>
        </w:rPr>
        <w:t xml:space="preserve">A complaint without a solution is an expression of grief. This document is not a grief document. It is a case, and a case requires a remedy.</w:t>
      </w:r>
    </w:p>
    <w:p>
      <w:pPr>
        <w:spacing w:after="140" w:before="100"/>
        <w:jc w:val="left"/>
      </w:pPr>
      <w:r>
        <w:rPr>
          <w:rFonts w:ascii="Arial" w:cs="Arial" w:eastAsia="Arial" w:hAnsi="Arial"/>
          <w:b w:val="false"/>
          <w:bCs w:val="false"/>
          <w:i w:val="false"/>
          <w:iCs w:val="false"/>
          <w:color w:val="1A1A1A"/>
          <w:sz w:val="22"/>
          <w:szCs w:val="22"/>
        </w:rPr>
        <w:t xml:space="preserve">The solution is not the elimination of social platforms. People need connection. Community. The ability to share their lives, their work, their ideas, their grief. These are legitimate human needs, and platforms that serve them genuinely have value. The solution is the elimination of the specific mechanism that converts those legitimate needs into a system for psychological exploitation: the Behavioral Manipulation System.</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What Exists Already — and Works</w:t>
      </w:r>
    </w:p>
    <w:p>
      <w:pPr>
        <w:spacing w:after="140" w:before="100"/>
        <w:jc w:val="left"/>
      </w:pPr>
      <w:r>
        <w:rPr>
          <w:rFonts w:ascii="Arial" w:cs="Arial" w:eastAsia="Arial" w:hAnsi="Arial"/>
          <w:b w:val="false"/>
          <w:bCs w:val="false"/>
          <w:i w:val="false"/>
          <w:iCs w:val="false"/>
          <w:color w:val="1A1A1A"/>
          <w:sz w:val="22"/>
          <w:szCs w:val="22"/>
        </w:rPr>
        <w:t xml:space="preserve">It is important to state clearly that the alternatives are not theoretical. They exist, they function, and they serve human needs without requiring behavioral manipulation:</w:t>
      </w:r>
    </w:p>
    <w:p>
      <w:pPr>
        <w:pStyle w:val="ListParagraph"/>
        <w:numPr>
          <w:ilvl w:val="0"/>
          <w:numId w:val="2"/>
        </w:numPr>
        <w:spacing w:after="60" w:before="60"/>
      </w:pPr>
      <w:r>
        <w:rPr>
          <w:rFonts w:ascii="Arial" w:cs="Arial" w:eastAsia="Arial" w:hAnsi="Arial"/>
          <w:color w:val="1A1A1A"/>
          <w:sz w:val="22"/>
          <w:szCs w:val="22"/>
        </w:rPr>
        <w:t xml:space="preserve">Chronological feeds display content from accounts a user has chosen to follow, in the order it was posted. This is how social media worked before engagement optimization. It works. Users can find what they are looking for. They are not manipulated toward content they did not choose.</w:t>
      </w:r>
    </w:p>
    <w:p>
      <w:pPr>
        <w:pStyle w:val="ListParagraph"/>
        <w:numPr>
          <w:ilvl w:val="0"/>
          <w:numId w:val="2"/>
        </w:numPr>
        <w:spacing w:after="60" w:before="60"/>
      </w:pPr>
      <w:r>
        <w:rPr>
          <w:rFonts w:ascii="Arial" w:cs="Arial" w:eastAsia="Arial" w:hAnsi="Arial"/>
          <w:color w:val="1A1A1A"/>
          <w:sz w:val="22"/>
          <w:szCs w:val="22"/>
        </w:rPr>
        <w:t xml:space="preserve">User-controlled filters allow individuals to define the rules by which they see content. The algorithm works for the user, not against them.</w:t>
      </w:r>
    </w:p>
    <w:p>
      <w:pPr>
        <w:pStyle w:val="ListParagraph"/>
        <w:numPr>
          <w:ilvl w:val="0"/>
          <w:numId w:val="2"/>
        </w:numPr>
        <w:spacing w:after="60" w:before="60"/>
      </w:pPr>
      <w:r>
        <w:rPr>
          <w:rFonts w:ascii="Arial" w:cs="Arial" w:eastAsia="Arial" w:hAnsi="Arial"/>
          <w:color w:val="1A1A1A"/>
          <w:sz w:val="22"/>
          <w:szCs w:val="22"/>
        </w:rPr>
        <w:t xml:space="preserve">Decentralized platforms such as Mastodon operate without a central corporate owner, without advertising revenue, and without engagement-maximizing algorithms. They have millions of users. They function.</w:t>
      </w:r>
    </w:p>
    <w:p>
      <w:pPr>
        <w:pStyle w:val="ListParagraph"/>
        <w:numPr>
          <w:ilvl w:val="0"/>
          <w:numId w:val="2"/>
        </w:numPr>
        <w:spacing w:after="60" w:before="60"/>
      </w:pPr>
      <w:r>
        <w:rPr>
          <w:rFonts w:ascii="Arial" w:cs="Arial" w:eastAsia="Arial" w:hAnsi="Arial"/>
          <w:color w:val="1A1A1A"/>
          <w:sz w:val="22"/>
          <w:szCs w:val="22"/>
        </w:rPr>
        <w:t xml:space="preserve">Statutory duty of care — modeled on pharmaceutical regulation — requires platforms to demonstrate that their systems produce net benefit before deploying them at scale.</w:t>
      </w:r>
    </w:p>
    <w:p>
      <w:pPr>
        <w:pStyle w:val="ListParagraph"/>
        <w:numPr>
          <w:ilvl w:val="0"/>
          <w:numId w:val="2"/>
        </w:numPr>
        <w:spacing w:after="60" w:before="60"/>
      </w:pPr>
      <w:r>
        <w:rPr>
          <w:rFonts w:ascii="Arial" w:cs="Arial" w:eastAsia="Arial" w:hAnsi="Arial"/>
          <w:color w:val="1A1A1A"/>
          <w:sz w:val="22"/>
          <w:szCs w:val="22"/>
        </w:rPr>
        <w:t xml:space="preserve">Mandatory algorithmic auditing by independent third parties — modeled on financial auditing — provides ongoing public accountability for BMS behavior.</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The Legislative Demand</w:t>
      </w:r>
    </w:p>
    <w:p>
      <w:pPr>
        <w:spacing w:after="140" w:before="100"/>
        <w:jc w:val="left"/>
      </w:pPr>
      <w:r>
        <w:rPr>
          <w:rFonts w:ascii="Arial" w:cs="Arial" w:eastAsia="Arial" w:hAnsi="Arial"/>
          <w:b w:val="false"/>
          <w:bCs w:val="false"/>
          <w:i w:val="false"/>
          <w:iCs w:val="false"/>
          <w:color w:val="1A1A1A"/>
          <w:sz w:val="22"/>
          <w:szCs w:val="22"/>
        </w:rPr>
        <w:t xml:space="preserve">This document calls for the following legislative actions, directed at every jurisdiction with the authority to implement them:</w:t>
      </w:r>
    </w:p>
    <w:p>
      <w:pPr>
        <w:pStyle w:val="ListParagraph"/>
        <w:numPr>
          <w:ilvl w:val="0"/>
          <w:numId w:val="2"/>
        </w:numPr>
        <w:spacing w:after="60" w:before="60"/>
      </w:pPr>
      <w:r>
        <w:rPr>
          <w:rFonts w:ascii="Arial" w:cs="Arial" w:eastAsia="Arial" w:hAnsi="Arial"/>
          <w:color w:val="1A1A1A"/>
          <w:sz w:val="22"/>
          <w:szCs w:val="22"/>
        </w:rPr>
        <w:t xml:space="preserve">Enact a statutory prohibition on Behavioral Manipulation Systems as defined in Section I of this document, operating on platforms accessible to minors.</w:t>
      </w:r>
    </w:p>
    <w:p>
      <w:pPr>
        <w:pStyle w:val="ListParagraph"/>
        <w:numPr>
          <w:ilvl w:val="0"/>
          <w:numId w:val="2"/>
        </w:numPr>
        <w:spacing w:after="60" w:before="60"/>
      </w:pPr>
      <w:r>
        <w:rPr>
          <w:rFonts w:ascii="Arial" w:cs="Arial" w:eastAsia="Arial" w:hAnsi="Arial"/>
          <w:color w:val="1A1A1A"/>
          <w:sz w:val="22"/>
          <w:szCs w:val="22"/>
        </w:rPr>
        <w:t xml:space="preserve">Require all social media platforms to offer a chronological, non-algorithmic feed as the default option for all users, with the BMS available only as an opt-in that requires meaningful, informed consent.</w:t>
      </w:r>
    </w:p>
    <w:p>
      <w:pPr>
        <w:pStyle w:val="ListParagraph"/>
        <w:numPr>
          <w:ilvl w:val="0"/>
          <w:numId w:val="2"/>
        </w:numPr>
        <w:spacing w:after="60" w:before="60"/>
      </w:pPr>
      <w:r>
        <w:rPr>
          <w:rFonts w:ascii="Arial" w:cs="Arial" w:eastAsia="Arial" w:hAnsi="Arial"/>
          <w:color w:val="1A1A1A"/>
          <w:sz w:val="22"/>
          <w:szCs w:val="22"/>
        </w:rPr>
        <w:t xml:space="preserve">Establish a statutory duty of care for social media platforms, modeled on product liability law, requiring platforms to demonstrate that their systems do not cause foreseeable harm before deployment and throughout operation.</w:t>
      </w:r>
    </w:p>
    <w:p>
      <w:pPr>
        <w:pStyle w:val="ListParagraph"/>
        <w:numPr>
          <w:ilvl w:val="0"/>
          <w:numId w:val="2"/>
        </w:numPr>
        <w:spacing w:after="60" w:before="60"/>
      </w:pPr>
      <w:r>
        <w:rPr>
          <w:rFonts w:ascii="Arial" w:cs="Arial" w:eastAsia="Arial" w:hAnsi="Arial"/>
          <w:color w:val="1A1A1A"/>
          <w:sz w:val="22"/>
          <w:szCs w:val="22"/>
        </w:rPr>
        <w:t xml:space="preserve">Mandate independent algorithmic auditing of all BMS systems operating in the jurisdiction, with public reporting of findings.</w:t>
      </w:r>
    </w:p>
    <w:p>
      <w:pPr>
        <w:pStyle w:val="ListParagraph"/>
        <w:numPr>
          <w:ilvl w:val="0"/>
          <w:numId w:val="2"/>
        </w:numPr>
        <w:spacing w:after="60" w:before="60"/>
      </w:pPr>
      <w:r>
        <w:rPr>
          <w:rFonts w:ascii="Arial" w:cs="Arial" w:eastAsia="Arial" w:hAnsi="Arial"/>
          <w:color w:val="1A1A1A"/>
          <w:sz w:val="22"/>
          <w:szCs w:val="22"/>
        </w:rPr>
        <w:t xml:space="preserve">Remove Section 230 immunity for harms caused by BMS systems specifically — distinguishing between platform liability for user-generated content (where 230 protection is appropriate) and platform liability for the operation of a system that selects and amplifies that content to vulnerable users (where it is not).</w:t>
      </w:r>
    </w:p>
    <w:p>
      <w:pPr>
        <w:pStyle w:val="ListParagraph"/>
        <w:numPr>
          <w:ilvl w:val="0"/>
          <w:numId w:val="2"/>
        </w:numPr>
        <w:spacing w:after="60" w:before="60"/>
      </w:pPr>
      <w:r>
        <w:rPr>
          <w:rFonts w:ascii="Arial" w:cs="Arial" w:eastAsia="Arial" w:hAnsi="Arial"/>
          <w:color w:val="1A1A1A"/>
          <w:sz w:val="22"/>
          <w:szCs w:val="22"/>
        </w:rPr>
        <w:t xml:space="preserve">Establish an international treaty framework for BMS regulation, recognizing that behavioral manipulation is a global harm requiring global accountability.</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The Hoffman Lenses Browser</w:t>
      </w:r>
    </w:p>
    <w:p>
      <w:pPr>
        <w:spacing w:after="140" w:before="100"/>
        <w:jc w:val="left"/>
      </w:pPr>
      <w:r>
        <w:rPr>
          <w:rFonts w:ascii="Arial" w:cs="Arial" w:eastAsia="Arial" w:hAnsi="Arial"/>
          <w:b w:val="false"/>
          <w:bCs w:val="false"/>
          <w:i w:val="false"/>
          <w:iCs w:val="false"/>
          <w:color w:val="1A1A1A"/>
          <w:sz w:val="22"/>
          <w:szCs w:val="22"/>
        </w:rPr>
        <w:t xml:space="preserve">Alongside this document, the Hoffman Lenses Initiative is releasing an open-source browser that makes Behavioral Manipulation Systems visible in real time. The browser analyzes the pages you visit using a local AI model — no data is transmitted anywhere — and identifies the specific manipulation techniques being deployed against you: outrage engineering, false authority, tribal activation, false urgency, war framing, and more.</w:t>
      </w:r>
    </w:p>
    <w:p>
      <w:pPr>
        <w:spacing w:after="140" w:before="100"/>
        <w:jc w:val="left"/>
      </w:pPr>
      <w:r>
        <w:rPr>
          <w:rFonts w:ascii="Arial" w:cs="Arial" w:eastAsia="Arial" w:hAnsi="Arial"/>
          <w:b w:val="false"/>
          <w:bCs w:val="false"/>
          <w:i w:val="false"/>
          <w:iCs w:val="false"/>
          <w:color w:val="1A1A1A"/>
          <w:sz w:val="22"/>
          <w:szCs w:val="22"/>
        </w:rPr>
        <w:t xml:space="preserve">The browser is open source. This is not a secondary feature — it is the strategic core. Open source means it cannot be bought. It cannot be silenced. It cannot be acquired and shut down. Once it is in the world, it belongs to the world.</w:t>
      </w:r>
    </w:p>
    <w:p>
      <w:pPr>
        <w:spacing w:after="140" w:before="100"/>
        <w:jc w:val="left"/>
      </w:pPr>
      <w:r>
        <w:rPr>
          <w:rFonts w:ascii="Arial" w:cs="Arial" w:eastAsia="Arial" w:hAnsi="Arial"/>
          <w:b w:val="false"/>
          <w:bCs w:val="false"/>
          <w:i w:val="false"/>
          <w:iCs w:val="false"/>
          <w:color w:val="1A1A1A"/>
          <w:sz w:val="22"/>
          <w:szCs w:val="22"/>
        </w:rPr>
        <w:t xml:space="preserve">Download, contribute, and fork at: github.com/HoffmanLensesInitiative/hoffman-core</w:t>
      </w:r>
    </w:p>
    <w:p>
      <w:r>
        <w:br w:type="page"/>
      </w:r>
    </w:p>
    <w:p>
      <w:pPr>
        <w:spacing w:after="60" w:before="320"/>
      </w:pPr>
      <w:r>
        <w:rPr>
          <w:rFonts w:ascii="Arial" w:cs="Arial" w:eastAsia="Arial" w:hAnsi="Arial"/>
          <w:b/>
          <w:bCs/>
          <w:color w:val="2E5FA3"/>
          <w:sz w:val="18"/>
          <w:szCs w:val="18"/>
        </w:rPr>
        <w:t xml:space="preserve">SECTION VII</w:t>
      </w:r>
    </w:p>
    <w:p>
      <w:pPr>
        <w:pStyle w:val="Heading1"/>
        <w:spacing w:after="160" w:before="240"/>
      </w:pPr>
      <w:r>
        <w:rPr>
          <w:rFonts w:ascii="Arial" w:cs="Arial" w:eastAsia="Arial" w:hAnsi="Arial"/>
          <w:b/>
          <w:bCs/>
          <w:color w:val="1B3A6B"/>
          <w:sz w:val="36"/>
          <w:szCs w:val="36"/>
        </w:rPr>
        <w:t xml:space="preserve">VII. Calls to Action</w:t>
      </w:r>
    </w:p>
    <w:p>
      <w:pPr>
        <w:pStyle w:val="Heading2"/>
        <w:spacing w:after="120" w:before="240"/>
      </w:pPr>
      <w:r>
        <w:rPr>
          <w:rFonts w:ascii="Arial" w:cs="Arial" w:eastAsia="Arial" w:hAnsi="Arial"/>
          <w:b/>
          <w:bCs/>
          <w:color w:val="2E5FA3"/>
          <w:sz w:val="26"/>
          <w:szCs w:val="26"/>
        </w:rPr>
        <w:t xml:space="preserve">For Legislators</w:t>
      </w:r>
    </w:p>
    <w:p>
      <w:pPr>
        <w:spacing w:after="140" w:before="100"/>
        <w:jc w:val="left"/>
      </w:pPr>
      <w:r>
        <w:rPr>
          <w:rFonts w:ascii="Arial" w:cs="Arial" w:eastAsia="Arial" w:hAnsi="Arial"/>
          <w:b w:val="false"/>
          <w:bCs w:val="false"/>
          <w:i w:val="false"/>
          <w:iCs w:val="false"/>
          <w:color w:val="1A1A1A"/>
          <w:sz w:val="22"/>
          <w:szCs w:val="22"/>
        </w:rPr>
        <w:t xml:space="preserve">The legislative landscape is shifting. As of early 2026, eight U.S. states have enacted laws restricting minors’ access to social media platforms. But most of these laws have targeted platform access rather than the BMS technology itself — and have therefore faced First Amendment challenges that could have been avoided with the framing provided in Section V of this document.</w:t>
      </w:r>
    </w:p>
    <w:p>
      <w:pPr>
        <w:pStyle w:val="ListParagraph"/>
        <w:numPr>
          <w:ilvl w:val="0"/>
          <w:numId w:val="2"/>
        </w:numPr>
        <w:spacing w:after="60" w:before="60"/>
      </w:pPr>
      <w:r>
        <w:rPr>
          <w:rFonts w:ascii="Arial" w:cs="Arial" w:eastAsia="Arial" w:hAnsi="Arial"/>
          <w:color w:val="1A1A1A"/>
          <w:sz w:val="22"/>
          <w:szCs w:val="22"/>
        </w:rPr>
        <w:t xml:space="preserve">Read and enter this document into the legislative record of any proceeding concerning social media, platform liability, or child online safety.</w:t>
      </w:r>
    </w:p>
    <w:p>
      <w:pPr>
        <w:pStyle w:val="ListParagraph"/>
        <w:numPr>
          <w:ilvl w:val="0"/>
          <w:numId w:val="2"/>
        </w:numPr>
        <w:spacing w:after="60" w:before="60"/>
      </w:pPr>
      <w:r>
        <w:rPr>
          <w:rFonts w:ascii="Arial" w:cs="Arial" w:eastAsia="Arial" w:hAnsi="Arial"/>
          <w:color w:val="1A1A1A"/>
          <w:sz w:val="22"/>
          <w:szCs w:val="22"/>
        </w:rPr>
        <w:t xml:space="preserve">Adopt the definition of Behavioral Manipulation Systems provided in Section I as the basis for targeted legislation, replacing content-restriction framings that are vulnerable to First Amendment challenge.</w:t>
      </w:r>
    </w:p>
    <w:p>
      <w:pPr>
        <w:pStyle w:val="ListParagraph"/>
        <w:numPr>
          <w:ilvl w:val="0"/>
          <w:numId w:val="2"/>
        </w:numPr>
        <w:spacing w:after="60" w:before="60"/>
      </w:pPr>
      <w:r>
        <w:rPr>
          <w:rFonts w:ascii="Arial" w:cs="Arial" w:eastAsia="Arial" w:hAnsi="Arial"/>
          <w:color w:val="1A1A1A"/>
          <w:sz w:val="22"/>
          <w:szCs w:val="22"/>
        </w:rPr>
        <w:t xml:space="preserve">Introduce the six legislative demands outlined in Section VI, adapted as appropriate to your jurisdiction.</w:t>
      </w:r>
    </w:p>
    <w:p>
      <w:pPr>
        <w:pStyle w:val="ListParagraph"/>
        <w:numPr>
          <w:ilvl w:val="0"/>
          <w:numId w:val="2"/>
        </w:numPr>
        <w:spacing w:after="60" w:before="60"/>
      </w:pPr>
      <w:r>
        <w:rPr>
          <w:rFonts w:ascii="Arial" w:cs="Arial" w:eastAsia="Arial" w:hAnsi="Arial"/>
          <w:color w:val="1A1A1A"/>
          <w:sz w:val="22"/>
          <w:szCs w:val="22"/>
        </w:rPr>
        <w:t xml:space="preserve">Summon platform executives to account — not for an apology performance, but for a technical demonstration of how their BMS operates, what data it collects, and what internal research they have suppressed.</w:t>
      </w:r>
    </w:p>
    <w:p>
      <w:pPr>
        <w:pStyle w:val="ListParagraph"/>
        <w:numPr>
          <w:ilvl w:val="0"/>
          <w:numId w:val="2"/>
        </w:numPr>
        <w:spacing w:after="60" w:before="60"/>
      </w:pPr>
      <w:r>
        <w:rPr>
          <w:rFonts w:ascii="Arial" w:cs="Arial" w:eastAsia="Arial" w:hAnsi="Arial"/>
          <w:color w:val="1A1A1A"/>
          <w:sz w:val="22"/>
          <w:szCs w:val="22"/>
        </w:rPr>
        <w:t xml:space="preserve">Investigate the gap between what platforms have told legislators and what their internal documents show. That gap is, in itself, a legislative matter.</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For Lawyers</w:t>
      </w:r>
    </w:p>
    <w:p>
      <w:pPr>
        <w:spacing w:after="140" w:before="100"/>
        <w:jc w:val="left"/>
      </w:pPr>
      <w:r>
        <w:rPr>
          <w:rFonts w:ascii="Arial" w:cs="Arial" w:eastAsia="Arial" w:hAnsi="Arial"/>
          <w:b w:val="false"/>
          <w:bCs w:val="false"/>
          <w:i w:val="false"/>
          <w:iCs w:val="false"/>
          <w:color w:val="1A1A1A"/>
          <w:sz w:val="22"/>
          <w:szCs w:val="22"/>
        </w:rPr>
        <w:t xml:space="preserve">The evidentiary record in this document is a foundation, not a ceiling. The cases that have the most traction are those targeting the BMS mechanism rather than the content it delivers. Key pressure points:</w:t>
      </w:r>
    </w:p>
    <w:p>
      <w:pPr>
        <w:pStyle w:val="ListParagraph"/>
        <w:numPr>
          <w:ilvl w:val="0"/>
          <w:numId w:val="2"/>
        </w:numPr>
        <w:spacing w:after="60" w:before="60"/>
      </w:pPr>
      <w:r>
        <w:rPr>
          <w:rFonts w:ascii="Arial" w:cs="Arial" w:eastAsia="Arial" w:hAnsi="Arial"/>
          <w:color w:val="1A1A1A"/>
          <w:sz w:val="22"/>
          <w:szCs w:val="22"/>
        </w:rPr>
        <w:t xml:space="preserve">The Third Circuit’s 2024 ruling in Anderson v. TikTok established that algorithmic amplification claims can survive Section 230 challenge. That precedent is available to plaintiffs in other jurisdictions.[19]</w:t>
      </w:r>
    </w:p>
    <w:p>
      <w:pPr>
        <w:pStyle w:val="ListParagraph"/>
        <w:numPr>
          <w:ilvl w:val="0"/>
          <w:numId w:val="2"/>
        </w:numPr>
        <w:spacing w:after="60" w:before="60"/>
      </w:pPr>
      <w:r>
        <w:rPr>
          <w:rFonts w:ascii="Arial" w:cs="Arial" w:eastAsia="Arial" w:hAnsi="Arial"/>
          <w:color w:val="1A1A1A"/>
          <w:sz w:val="22"/>
          <w:szCs w:val="22"/>
        </w:rPr>
        <w:t xml:space="preserve">The Facebook Papers constitute documented evidence of awareness. Any litigation involving Meta should treat those documents as establishing the foreseeability element.</w:t>
      </w:r>
    </w:p>
    <w:p>
      <w:pPr>
        <w:pStyle w:val="ListParagraph"/>
        <w:numPr>
          <w:ilvl w:val="0"/>
          <w:numId w:val="2"/>
        </w:numPr>
        <w:spacing w:after="60" w:before="60"/>
      </w:pPr>
      <w:r>
        <w:rPr>
          <w:rFonts w:ascii="Arial" w:cs="Arial" w:eastAsia="Arial" w:hAnsi="Arial"/>
          <w:color w:val="1A1A1A"/>
          <w:sz w:val="22"/>
          <w:szCs w:val="22"/>
        </w:rPr>
        <w:t xml:space="preserve">The Molly Russell coroner’s findings, while issued in a UK jurisdiction, establish a formal factual record of causation that can inform expert testimony in other proceedings.</w:t>
      </w:r>
    </w:p>
    <w:p>
      <w:pPr>
        <w:pStyle w:val="ListParagraph"/>
        <w:numPr>
          <w:ilvl w:val="0"/>
          <w:numId w:val="2"/>
        </w:numPr>
        <w:spacing w:after="60" w:before="60"/>
      </w:pPr>
      <w:r>
        <w:rPr>
          <w:rFonts w:ascii="Arial" w:cs="Arial" w:eastAsia="Arial" w:hAnsi="Arial"/>
          <w:color w:val="1A1A1A"/>
          <w:sz w:val="22"/>
          <w:szCs w:val="22"/>
        </w:rPr>
        <w:t xml:space="preserve">The California trial that opened in February 2026, in which Meta and Google are contesting algorithmic liability claims, represents the current leading edge of this litigation. Monitor it closely.</w:t>
      </w:r>
    </w:p>
    <w:p>
      <w:pPr>
        <w:pStyle w:val="ListParagraph"/>
        <w:numPr>
          <w:ilvl w:val="0"/>
          <w:numId w:val="2"/>
        </w:numPr>
        <w:spacing w:after="60" w:before="60"/>
      </w:pPr>
      <w:r>
        <w:rPr>
          <w:rFonts w:ascii="Arial" w:cs="Arial" w:eastAsia="Arial" w:hAnsi="Arial"/>
          <w:color w:val="1A1A1A"/>
          <w:sz w:val="22"/>
          <w:szCs w:val="22"/>
        </w:rPr>
        <w:t xml:space="preserve">The platforms’ settlement pattern — TikTok and Snap settling days before the California trial was to open — is itself evidence. Companies settle to avoid testimony under oath. That pattern belongs in any legal analysis of platform accountability.</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For Journalists</w:t>
      </w:r>
    </w:p>
    <w:p>
      <w:pPr>
        <w:pStyle w:val="ListParagraph"/>
        <w:numPr>
          <w:ilvl w:val="0"/>
          <w:numId w:val="2"/>
        </w:numPr>
        <w:spacing w:after="60" w:before="60"/>
      </w:pPr>
      <w:r>
        <w:rPr>
          <w:rFonts w:ascii="Arial" w:cs="Arial" w:eastAsia="Arial" w:hAnsi="Arial"/>
          <w:color w:val="1A1A1A"/>
          <w:sz w:val="22"/>
          <w:szCs w:val="22"/>
        </w:rPr>
        <w:t xml:space="preserve">Contact the families named in this document’s dedication, and the hundreds of families on the remembrance list at hoffmanlenses.org/remembrance. Their stories are not fully told.</w:t>
      </w:r>
    </w:p>
    <w:p>
      <w:pPr>
        <w:pStyle w:val="ListParagraph"/>
        <w:numPr>
          <w:ilvl w:val="0"/>
          <w:numId w:val="2"/>
        </w:numPr>
        <w:spacing w:after="60" w:before="60"/>
      </w:pPr>
      <w:r>
        <w:rPr>
          <w:rFonts w:ascii="Arial" w:cs="Arial" w:eastAsia="Arial" w:hAnsi="Arial"/>
          <w:color w:val="1A1A1A"/>
          <w:sz w:val="22"/>
          <w:szCs w:val="22"/>
        </w:rPr>
        <w:t xml:space="preserve">Investigate the eight-year gap between Molly Russell’s death and the 97 percent harm rate documented in the 2025 Molly Rose Foundation report. That gap is a story about deliberate inaction, not technical difficulty.</w:t>
      </w:r>
    </w:p>
    <w:p>
      <w:pPr>
        <w:pStyle w:val="ListParagraph"/>
        <w:numPr>
          <w:ilvl w:val="0"/>
          <w:numId w:val="2"/>
        </w:numPr>
        <w:spacing w:after="60" w:before="60"/>
      </w:pPr>
      <w:r>
        <w:rPr>
          <w:rFonts w:ascii="Arial" w:cs="Arial" w:eastAsia="Arial" w:hAnsi="Arial"/>
          <w:color w:val="1A1A1A"/>
          <w:sz w:val="22"/>
          <w:szCs w:val="22"/>
        </w:rPr>
        <w:t xml:space="preserve">Report on the California trial that opened in February 2026.</w:t>
      </w:r>
    </w:p>
    <w:p>
      <w:pPr>
        <w:pStyle w:val="ListParagraph"/>
        <w:numPr>
          <w:ilvl w:val="0"/>
          <w:numId w:val="2"/>
        </w:numPr>
        <w:spacing w:after="60" w:before="60"/>
      </w:pPr>
      <w:r>
        <w:rPr>
          <w:rFonts w:ascii="Arial" w:cs="Arial" w:eastAsia="Arial" w:hAnsi="Arial"/>
          <w:color w:val="1A1A1A"/>
          <w:sz w:val="22"/>
          <w:szCs w:val="22"/>
        </w:rPr>
        <w:t xml:space="preserve">Examine the lobbying expenditures of major platforms against child protection legislation, and the revolving door between platform policy teams and regulatory bodies.</w:t>
      </w:r>
    </w:p>
    <w:p>
      <w:pPr>
        <w:pStyle w:val="ListParagraph"/>
        <w:numPr>
          <w:ilvl w:val="0"/>
          <w:numId w:val="2"/>
        </w:numPr>
        <w:spacing w:after="60" w:before="60"/>
      </w:pPr>
      <w:r>
        <w:rPr>
          <w:rFonts w:ascii="Arial" w:cs="Arial" w:eastAsia="Arial" w:hAnsi="Arial"/>
          <w:color w:val="1A1A1A"/>
          <w:sz w:val="22"/>
          <w:szCs w:val="22"/>
        </w:rPr>
        <w:t xml:space="preserve">Download and install the Hoffman Lenses browser. Write about what you see.</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For the Public</w:t>
      </w:r>
    </w:p>
    <w:p>
      <w:pPr>
        <w:spacing w:after="140" w:before="100"/>
        <w:jc w:val="left"/>
      </w:pPr>
      <w:r>
        <w:rPr>
          <w:rFonts w:ascii="Arial" w:cs="Arial" w:eastAsia="Arial" w:hAnsi="Arial"/>
          <w:b w:val="false"/>
          <w:bCs w:val="false"/>
          <w:i w:val="false"/>
          <w:iCs w:val="false"/>
          <w:color w:val="1A1A1A"/>
          <w:sz w:val="22"/>
          <w:szCs w:val="22"/>
        </w:rPr>
        <w:t xml:space="preserve">You are the product. Your attention, your emotional responses, your psychological vulnerabilities — these are what the platform sells. You did not agree to this. You were not told. You were not asked.</w:t>
      </w:r>
    </w:p>
    <w:p>
      <w:pPr>
        <w:pStyle w:val="ListParagraph"/>
        <w:numPr>
          <w:ilvl w:val="0"/>
          <w:numId w:val="2"/>
        </w:numPr>
        <w:spacing w:after="60" w:before="60"/>
      </w:pPr>
      <w:r>
        <w:rPr>
          <w:rFonts w:ascii="Arial" w:cs="Arial" w:eastAsia="Arial" w:hAnsi="Arial"/>
          <w:color w:val="1A1A1A"/>
          <w:sz w:val="22"/>
          <w:szCs w:val="22"/>
        </w:rPr>
        <w:t xml:space="preserve">Get the Hoffman Browser at hoffmanlenses.org. Use it for one week on the sites you actually visit. Then decide what you think.</w:t>
      </w:r>
    </w:p>
    <w:p>
      <w:pPr>
        <w:pStyle w:val="ListParagraph"/>
        <w:numPr>
          <w:ilvl w:val="0"/>
          <w:numId w:val="2"/>
        </w:numPr>
        <w:spacing w:after="60" w:before="60"/>
      </w:pPr>
      <w:r>
        <w:rPr>
          <w:rFonts w:ascii="Arial" w:cs="Arial" w:eastAsia="Arial" w:hAnsi="Arial"/>
          <w:color w:val="1A1A1A"/>
          <w:sz w:val="22"/>
          <w:szCs w:val="22"/>
        </w:rPr>
        <w:t xml:space="preserve">Switch your social media feeds to chronological order where the option is available. Most platforms offer this option, buried in settings, because they do not want you to use it.</w:t>
      </w:r>
    </w:p>
    <w:p>
      <w:pPr>
        <w:pStyle w:val="ListParagraph"/>
        <w:numPr>
          <w:ilvl w:val="0"/>
          <w:numId w:val="2"/>
        </w:numPr>
        <w:spacing w:after="60" w:before="60"/>
      </w:pPr>
      <w:r>
        <w:rPr>
          <w:rFonts w:ascii="Arial" w:cs="Arial" w:eastAsia="Arial" w:hAnsi="Arial"/>
          <w:color w:val="1A1A1A"/>
          <w:sz w:val="22"/>
          <w:szCs w:val="22"/>
        </w:rPr>
        <w:t xml:space="preserve">Share this document. It is released under Creative Commons and may be reproduced without restriction. Send it to your elected representatives. Send it to journalists. Send it to other parents.</w:t>
      </w:r>
    </w:p>
    <w:p>
      <w:pPr>
        <w:pStyle w:val="ListParagraph"/>
        <w:numPr>
          <w:ilvl w:val="0"/>
          <w:numId w:val="2"/>
        </w:numPr>
        <w:spacing w:after="60" w:before="60"/>
      </w:pPr>
      <w:r>
        <w:rPr>
          <w:rFonts w:ascii="Arial" w:cs="Arial" w:eastAsia="Arial" w:hAnsi="Arial"/>
          <w:color w:val="1A1A1A"/>
          <w:sz w:val="22"/>
          <w:szCs w:val="22"/>
        </w:rPr>
        <w:t xml:space="preserve">Visit hoffmanlenses.org/remembrance and read the names. These are not statistics. They are children who were alive and are not anymore.</w:t>
      </w:r>
    </w:p>
    <w:p>
      <w:pPr>
        <w:spacing w:after="0" w:before="80"/>
      </w:pPr>
      <w:r>
        <w:t xml:space="preserve"/>
      </w:r>
    </w:p>
    <w:p>
      <w:pPr>
        <w:pStyle w:val="Heading2"/>
        <w:spacing w:after="120" w:before="240"/>
      </w:pPr>
      <w:r>
        <w:rPr>
          <w:rFonts w:ascii="Arial" w:cs="Arial" w:eastAsia="Arial" w:hAnsi="Arial"/>
          <w:b/>
          <w:bCs/>
          <w:color w:val="2E5FA3"/>
          <w:sz w:val="26"/>
          <w:szCs w:val="26"/>
        </w:rPr>
        <w:t xml:space="preserve">For the Families</w:t>
      </w:r>
    </w:p>
    <w:p>
      <w:pPr>
        <w:spacing w:after="140" w:before="100"/>
        <w:jc w:val="left"/>
      </w:pPr>
      <w:r>
        <w:rPr>
          <w:rFonts w:ascii="Arial" w:cs="Arial" w:eastAsia="Arial" w:hAnsi="Arial"/>
          <w:b w:val="false"/>
          <w:bCs w:val="false"/>
          <w:i w:val="false"/>
          <w:iCs w:val="false"/>
          <w:color w:val="1A1A1A"/>
          <w:sz w:val="22"/>
          <w:szCs w:val="22"/>
        </w:rPr>
        <w:t xml:space="preserve">To every parent who has lost a child to algorithmic violence:</w:t>
      </w:r>
    </w:p>
    <w:p>
      <w:pPr>
        <w:spacing w:after="140" w:before="100"/>
        <w:jc w:val="left"/>
      </w:pPr>
      <w:r>
        <w:rPr>
          <w:rFonts w:ascii="Arial" w:cs="Arial" w:eastAsia="Arial" w:hAnsi="Arial"/>
          <w:b w:val="false"/>
          <w:bCs w:val="false"/>
          <w:i w:val="false"/>
          <w:iCs w:val="false"/>
          <w:color w:val="1A1A1A"/>
          <w:sz w:val="22"/>
          <w:szCs w:val="22"/>
        </w:rPr>
        <w:t xml:space="preserve">You are not alone in this. You are fighting the wealthiest corporations in human history, with unlimited legal resources and decades of experience defeating exactly the kind of accountability you are seeking. That is the honest truth of the situation you are in.</w:t>
      </w:r>
    </w:p>
    <w:p>
      <w:pPr>
        <w:spacing w:after="140" w:before="100"/>
        <w:jc w:val="left"/>
      </w:pPr>
      <w:r>
        <w:rPr>
          <w:rFonts w:ascii="Arial" w:cs="Arial" w:eastAsia="Arial" w:hAnsi="Arial"/>
          <w:b w:val="false"/>
          <w:bCs w:val="false"/>
          <w:i w:val="false"/>
          <w:iCs w:val="false"/>
          <w:color w:val="1A1A1A"/>
          <w:sz w:val="22"/>
          <w:szCs w:val="22"/>
        </w:rPr>
        <w:t xml:space="preserve">This document and the Hoffman Lenses Initiative exist to change that. We are building a coordinated, legally grounded, publicly documented case — one that names the machine, defines the harm, and makes clear that the question is not whether harm occurred, but why the corporations that caused it are still operating.</w:t>
      </w:r>
    </w:p>
    <w:p>
      <w:pPr>
        <w:spacing w:after="0" w:before="80"/>
      </w:pPr>
      <w:r>
        <w:t xml:space="preserve"/>
      </w:r>
    </w:p>
    <w:p>
      <w:pPr>
        <w:pBdr>
          <w:left w:val="single" w:color="C0392B" w:sz="12" w:space="6"/>
        </w:pBdr>
        <w:spacing w:after="60" w:before="160"/>
        <w:ind w:left="600"/>
      </w:pPr>
      <w:r>
        <w:rPr>
          <w:rFonts w:ascii="Arial" w:cs="Arial" w:eastAsia="Arial" w:hAnsi="Arial"/>
          <w:i/>
          <w:iCs/>
          <w:color w:val="444444"/>
          <w:sz w:val="22"/>
          <w:szCs w:val="22"/>
        </w:rPr>
        <w:t xml:space="preserve">“It’s not a joke. It’s not a game. It’s life and death.”</w:t>
      </w:r>
    </w:p>
    <w:p>
      <w:pPr>
        <w:spacing w:after="200" w:before="0"/>
        <w:ind w:left="600"/>
      </w:pPr>
      <w:r>
        <w:rPr>
          <w:rFonts w:ascii="Arial" w:cs="Arial" w:eastAsia="Arial" w:hAnsi="Arial"/>
          <w:color w:val="888888"/>
          <w:sz w:val="20"/>
          <w:szCs w:val="20"/>
        </w:rPr>
        <w:t xml:space="preserve">— Curtis Blackwell, father of JackLynn Blackwell, age 9.</w:t>
      </w:r>
    </w:p>
    <w:p>
      <w:pPr>
        <w:spacing w:after="140" w:before="100"/>
        <w:jc w:val="left"/>
      </w:pPr>
      <w:r>
        <w:rPr>
          <w:rFonts w:ascii="Arial" w:cs="Arial" w:eastAsia="Arial" w:hAnsi="Arial"/>
          <w:b w:val="false"/>
          <w:bCs w:val="false"/>
          <w:i w:val="false"/>
          <w:iCs w:val="false"/>
          <w:color w:val="1A1A1A"/>
          <w:sz w:val="22"/>
          <w:szCs w:val="22"/>
        </w:rPr>
        <w:t xml:space="preserve">We heard him. We are acting.</w:t>
      </w:r>
    </w:p>
    <w:p>
      <w:r>
        <w:br w:type="page"/>
      </w:r>
    </w:p>
    <w:p>
      <w:pPr>
        <w:spacing w:after="60" w:before="320"/>
      </w:pPr>
      <w:r>
        <w:rPr>
          <w:rFonts w:ascii="Arial" w:cs="Arial" w:eastAsia="Arial" w:hAnsi="Arial"/>
          <w:b/>
          <w:bCs/>
          <w:color w:val="2E5FA3"/>
          <w:sz w:val="18"/>
          <w:szCs w:val="18"/>
        </w:rPr>
        <w:t xml:space="preserve">REFERENCES</w:t>
      </w:r>
    </w:p>
    <w:p>
      <w:pPr>
        <w:pStyle w:val="Heading1"/>
        <w:spacing w:after="160" w:before="240"/>
      </w:pPr>
      <w:r>
        <w:rPr>
          <w:rFonts w:ascii="Arial" w:cs="Arial" w:eastAsia="Arial" w:hAnsi="Arial"/>
          <w:b/>
          <w:bCs/>
          <w:color w:val="1B3A6B"/>
          <w:sz w:val="36"/>
          <w:szCs w:val="36"/>
        </w:rPr>
        <w:t xml:space="preserve">References</w:t>
      </w:r>
    </w:p>
    <w:p>
      <w:pPr>
        <w:spacing w:after="40" w:before="80"/>
      </w:pPr>
      <w:r>
        <w:rPr>
          <w:rFonts w:ascii="Arial" w:cs="Arial" w:eastAsia="Arial" w:hAnsi="Arial"/>
          <w:color w:val="444444"/>
          <w:sz w:val="20"/>
          <w:szCs w:val="20"/>
        </w:rPr>
        <w:t xml:space="preserve">1. Blackwell, Curtis and Wendi. Interview with CBS Texas / KTVT, March 19, 2026.</w:t>
      </w:r>
    </w:p>
    <w:p>
      <w:pPr>
        <w:spacing w:after="40" w:before="80"/>
      </w:pPr>
      <w:r>
        <w:rPr>
          <w:rFonts w:ascii="Arial" w:cs="Arial" w:eastAsia="Arial" w:hAnsi="Arial"/>
          <w:color w:val="444444"/>
          <w:sz w:val="20"/>
          <w:szCs w:val="20"/>
        </w:rPr>
        <w:t xml:space="preserve">2. Centers for Disease Control and Prevention (CDC). Blackout Challenge death statistics. Approximately 78 documented deaths attributed to the challenge.</w:t>
      </w:r>
    </w:p>
    <w:p>
      <w:pPr>
        <w:spacing w:after="40" w:before="80"/>
      </w:pPr>
      <w:r>
        <w:rPr>
          <w:rFonts w:ascii="Arial" w:cs="Arial" w:eastAsia="Arial" w:hAnsi="Arial"/>
          <w:color w:val="444444"/>
          <w:sz w:val="20"/>
          <w:szCs w:val="20"/>
        </w:rPr>
        <w:t xml:space="preserve">3. Molly Rose Foundation. “Pervasive-by-Design: Algorithmic Harm to Young People on Instagram and TikTok.” August 2025.</w:t>
      </w:r>
    </w:p>
    <w:p>
      <w:pPr>
        <w:spacing w:after="40" w:before="80"/>
      </w:pPr>
      <w:r>
        <w:rPr>
          <w:rFonts w:ascii="Arial" w:cs="Arial" w:eastAsia="Arial" w:hAnsi="Arial"/>
          <w:color w:val="444444"/>
          <w:sz w:val="20"/>
          <w:szCs w:val="20"/>
        </w:rPr>
        <w:t xml:space="preserve">4. Walker, Andrew (HM Coroner). Inquest touching the death of Molly Russell. Prevention of Future Deaths Report. London, September 2022.</w:t>
      </w:r>
    </w:p>
    <w:p>
      <w:pPr>
        <w:spacing w:after="40" w:before="80"/>
      </w:pPr>
      <w:r>
        <w:rPr>
          <w:rFonts w:ascii="Arial" w:cs="Arial" w:eastAsia="Arial" w:hAnsi="Arial"/>
          <w:color w:val="444444"/>
          <w:sz w:val="20"/>
          <w:szCs w:val="20"/>
        </w:rPr>
        <w:t xml:space="preserve">5. Deseret News. “Was social media responsible for Molly Russell’s suicide?” October 18, 2022.</w:t>
      </w:r>
    </w:p>
    <w:p>
      <w:pPr>
        <w:spacing w:after="40" w:before="80"/>
      </w:pPr>
      <w:r>
        <w:rPr>
          <w:rFonts w:ascii="Arial" w:cs="Arial" w:eastAsia="Arial" w:hAnsi="Arial"/>
          <w:color w:val="444444"/>
          <w:sz w:val="20"/>
          <w:szCs w:val="20"/>
        </w:rPr>
        <w:t xml:space="preserve">6. Haugen, Frances. Testimony before the United States Senate Commerce Subcommittee on Consumer Protection, Product Safety, and Data Security. October 5, 2021.</w:t>
      </w:r>
    </w:p>
    <w:p>
      <w:pPr>
        <w:spacing w:after="40" w:before="80"/>
      </w:pPr>
      <w:r>
        <w:rPr>
          <w:rFonts w:ascii="Arial" w:cs="Arial" w:eastAsia="Arial" w:hAnsi="Arial"/>
          <w:color w:val="444444"/>
          <w:sz w:val="20"/>
          <w:szCs w:val="20"/>
        </w:rPr>
        <w:t xml:space="preserve">7. Wall Street Journal. “The Facebook Files” investigative series. September–October 2021.</w:t>
      </w:r>
    </w:p>
    <w:p>
      <w:pPr>
        <w:spacing w:after="40" w:before="80"/>
      </w:pPr>
      <w:r>
        <w:rPr>
          <w:rFonts w:ascii="Arial" w:cs="Arial" w:eastAsia="Arial" w:hAnsi="Arial"/>
          <w:color w:val="444444"/>
          <w:sz w:val="20"/>
          <w:szCs w:val="20"/>
        </w:rPr>
        <w:t xml:space="preserve">8. Centers for Disease Control and Prevention. Youth Risk Behavior Survey (YRBSS), 2021.</w:t>
      </w:r>
    </w:p>
    <w:p>
      <w:pPr>
        <w:spacing w:after="40" w:before="80"/>
      </w:pPr>
      <w:r>
        <w:rPr>
          <w:rFonts w:ascii="Arial" w:cs="Arial" w:eastAsia="Arial" w:hAnsi="Arial"/>
          <w:color w:val="444444"/>
          <w:sz w:val="20"/>
          <w:szCs w:val="20"/>
        </w:rPr>
        <w:t xml:space="preserve">9. Arkansas Center for Health Improvement (ACHI). “Youth Social Media Use and Associations With Suicide Risk.” 2025.</w:t>
      </w:r>
    </w:p>
    <w:p>
      <w:pPr>
        <w:spacing w:after="40" w:before="80"/>
      </w:pPr>
      <w:r>
        <w:rPr>
          <w:rFonts w:ascii="Arial" w:cs="Arial" w:eastAsia="Arial" w:hAnsi="Arial"/>
          <w:color w:val="444444"/>
          <w:sz w:val="20"/>
          <w:szCs w:val="20"/>
        </w:rPr>
        <w:t xml:space="preserve">10. Van Hout, M.C., et al. “Social media use of adolescents who died by suicide: lessons from a psychological autopsy study.” BMJ Open, 2021.</w:t>
      </w:r>
    </w:p>
    <w:p>
      <w:pPr>
        <w:spacing w:after="40" w:before="80"/>
      </w:pPr>
      <w:r>
        <w:rPr>
          <w:rFonts w:ascii="Arial" w:cs="Arial" w:eastAsia="Arial" w:hAnsi="Arial"/>
          <w:color w:val="444444"/>
          <w:sz w:val="20"/>
          <w:szCs w:val="20"/>
        </w:rPr>
        <w:t xml:space="preserve">11. Sedgwick, R., et al. “Social media, internet use and suicide attempts in adolescents.” BJPsych Open / PMC. 2019.</w:t>
      </w:r>
    </w:p>
    <w:p>
      <w:pPr>
        <w:spacing w:after="40" w:before="80"/>
      </w:pPr>
      <w:r>
        <w:rPr>
          <w:rFonts w:ascii="Arial" w:cs="Arial" w:eastAsia="Arial" w:hAnsi="Arial"/>
          <w:color w:val="444444"/>
          <w:sz w:val="20"/>
          <w:szCs w:val="20"/>
        </w:rPr>
        <w:t xml:space="preserve">12. Vosoughi, S., Roy, D., and Aral, S. “The Spread of True and False News Online.” Science, Vol. 359, Issue 6380, 2018.</w:t>
      </w:r>
    </w:p>
    <w:p>
      <w:pPr>
        <w:spacing w:after="40" w:before="80"/>
      </w:pPr>
      <w:r>
        <w:rPr>
          <w:rFonts w:ascii="Arial" w:cs="Arial" w:eastAsia="Arial" w:hAnsi="Arial"/>
          <w:color w:val="444444"/>
          <w:sz w:val="20"/>
          <w:szCs w:val="20"/>
        </w:rPr>
        <w:t xml:space="preserve">13. United Nations Human Rights Council. “Report of the Independent International Fact-Finding Mission on Myanmar.” A/HRC/39/64. September 2018.</w:t>
      </w:r>
    </w:p>
    <w:p>
      <w:pPr>
        <w:spacing w:after="40" w:before="80"/>
      </w:pPr>
      <w:r>
        <w:rPr>
          <w:rFonts w:ascii="Arial" w:cs="Arial" w:eastAsia="Arial" w:hAnsi="Arial"/>
          <w:color w:val="444444"/>
          <w:sz w:val="20"/>
          <w:szCs w:val="20"/>
        </w:rPr>
        <w:t xml:space="preserve">14. United Nations News. Statement by Volker Türk, UN High Commissioner for Human Rights. December 10, 2025.</w:t>
      </w:r>
    </w:p>
    <w:p>
      <w:pPr>
        <w:spacing w:after="40" w:before="80"/>
      </w:pPr>
      <w:r>
        <w:rPr>
          <w:rFonts w:ascii="Arial" w:cs="Arial" w:eastAsia="Arial" w:hAnsi="Arial"/>
          <w:color w:val="444444"/>
          <w:sz w:val="20"/>
          <w:szCs w:val="20"/>
        </w:rPr>
        <w:t xml:space="preserve">15. United Nations General Assembly. International Covenant on Civil and Political Rights (ICCPR). Resolution 2200A (XXI). December 16, 1966.</w:t>
      </w:r>
    </w:p>
    <w:p>
      <w:pPr>
        <w:spacing w:after="40" w:before="80"/>
      </w:pPr>
      <w:r>
        <w:rPr>
          <w:rFonts w:ascii="Arial" w:cs="Arial" w:eastAsia="Arial" w:hAnsi="Arial"/>
          <w:color w:val="444444"/>
          <w:sz w:val="20"/>
          <w:szCs w:val="20"/>
        </w:rPr>
        <w:t xml:space="preserve">16. United Nations General Assembly. Convention on the Rights of the Child (UNCRC). Resolution 44/25. November 20, 1989.</w:t>
      </w:r>
    </w:p>
    <w:p>
      <w:pPr>
        <w:spacing w:after="40" w:before="80"/>
      </w:pPr>
      <w:r>
        <w:rPr>
          <w:rFonts w:ascii="Arial" w:cs="Arial" w:eastAsia="Arial" w:hAnsi="Arial"/>
          <w:color w:val="444444"/>
          <w:sz w:val="20"/>
          <w:szCs w:val="20"/>
        </w:rPr>
        <w:t xml:space="preserve">17. United Nations General Assembly. International Covenant on Economic, Social and Cultural Rights (ICESCR). Resolution 2200A (XXI). December 16, 1966.</w:t>
      </w:r>
    </w:p>
    <w:p>
      <w:pPr>
        <w:spacing w:after="40" w:before="80"/>
      </w:pPr>
      <w:r>
        <w:rPr>
          <w:rFonts w:ascii="Arial" w:cs="Arial" w:eastAsia="Arial" w:hAnsi="Arial"/>
          <w:color w:val="444444"/>
          <w:sz w:val="20"/>
          <w:szCs w:val="20"/>
        </w:rPr>
        <w:t xml:space="preserve">18. Office of the United Nations High Commissioner for Human Rights (OHCHR). “Guiding Principles on Business and Human Rights.” 2011.</w:t>
      </w:r>
    </w:p>
    <w:p>
      <w:pPr>
        <w:spacing w:after="40" w:before="80"/>
      </w:pPr>
      <w:r>
        <w:rPr>
          <w:rFonts w:ascii="Arial" w:cs="Arial" w:eastAsia="Arial" w:hAnsi="Arial"/>
          <w:color w:val="444444"/>
          <w:sz w:val="20"/>
          <w:szCs w:val="20"/>
        </w:rPr>
        <w:t xml:space="preserve">19. Anderson v. TikTok, Inc. United States Court of Appeals for the Third Circuit. Case No. 22-3061. 2024.</w:t>
      </w:r>
    </w:p>
    <w:p>
      <w:pPr>
        <w:spacing w:after="40" w:before="80"/>
      </w:pPr>
      <w:r>
        <w:rPr>
          <w:rFonts w:ascii="Arial" w:cs="Arial" w:eastAsia="Arial" w:hAnsi="Arial"/>
          <w:color w:val="444444"/>
          <w:sz w:val="20"/>
          <w:szCs w:val="20"/>
        </w:rPr>
        <w:t xml:space="preserve">20. CNN Business. “Their teenage children died by suicide. Now these families want to hold social media companies accountable.” 2023.</w:t>
      </w:r>
    </w:p>
    <w:p>
      <w:pPr>
        <w:spacing w:after="40" w:before="80"/>
      </w:pPr>
      <w:r>
        <w:rPr>
          <w:rFonts w:ascii="Arial" w:cs="Arial" w:eastAsia="Arial" w:hAnsi="Arial"/>
          <w:color w:val="444444"/>
          <w:sz w:val="20"/>
          <w:szCs w:val="20"/>
        </w:rPr>
        <w:t xml:space="preserve">21. MultiState.us. “Eight States Enact Minor Social Media Bans Despite Court Fights.” October 8, 2025.</w:t>
      </w:r>
    </w:p>
    <w:p>
      <w:pPr>
        <w:spacing w:after="40" w:before="80"/>
      </w:pPr>
      <w:r>
        <w:rPr>
          <w:rFonts w:ascii="Arial" w:cs="Arial" w:eastAsia="Arial" w:hAnsi="Arial"/>
          <w:color w:val="444444"/>
          <w:sz w:val="20"/>
          <w:szCs w:val="20"/>
        </w:rPr>
        <w:t xml:space="preserve">22. California social media harm trial coverage. TikTok and Snap settlement reporting. February 2026.</w:t>
      </w:r>
    </w:p>
    <w:p>
      <w:pPr>
        <w:spacing w:after="40" w:before="80"/>
      </w:pPr>
      <w:r>
        <w:rPr>
          <w:rFonts w:ascii="Arial" w:cs="Arial" w:eastAsia="Arial" w:hAnsi="Arial"/>
          <w:color w:val="444444"/>
          <w:sz w:val="20"/>
          <w:szCs w:val="20"/>
        </w:rPr>
        <w:t xml:space="preserve">23. United States Senate Judiciary Committee. Hearing: “Big Tech and the Online Child Sexual Exploitation Crisis.” January 31, 2024.</w:t>
      </w:r>
    </w:p>
    <w:p>
      <w:pPr>
        <w:spacing w:after="40" w:before="80"/>
      </w:pPr>
      <w:r>
        <w:rPr>
          <w:rFonts w:ascii="Arial" w:cs="Arial" w:eastAsia="Arial" w:hAnsi="Arial"/>
          <w:color w:val="444444"/>
          <w:sz w:val="20"/>
          <w:szCs w:val="20"/>
        </w:rPr>
        <w:t xml:space="preserve">24. Arkansas Center for Health Improvement (ACHI). Arkansas Act 901 of 2025.</w:t>
      </w:r>
    </w:p>
    <w:p>
      <w:pPr>
        <w:spacing w:after="40" w:before="80"/>
      </w:pPr>
      <w:r>
        <w:rPr>
          <w:rFonts w:ascii="Arial" w:cs="Arial" w:eastAsia="Arial" w:hAnsi="Arial"/>
          <w:color w:val="444444"/>
          <w:sz w:val="20"/>
          <w:szCs w:val="20"/>
        </w:rPr>
        <w:t xml:space="preserve">25. French National Assembly. Vote approving legislation establishing minimum age of 15 for social media use, 2023.</w:t>
      </w:r>
    </w:p>
    <w:p>
      <w:r>
        <w:br w:type="page"/>
      </w:r>
    </w:p>
    <w:p>
      <w:pPr>
        <w:spacing w:after="60" w:before="320"/>
      </w:pPr>
      <w:r>
        <w:rPr>
          <w:rFonts w:ascii="Arial" w:cs="Arial" w:eastAsia="Arial" w:hAnsi="Arial"/>
          <w:b/>
          <w:bCs/>
          <w:color w:val="2E5FA3"/>
          <w:sz w:val="18"/>
          <w:szCs w:val="18"/>
        </w:rPr>
        <w:t xml:space="preserve">ABOUT</w:t>
      </w:r>
    </w:p>
    <w:p>
      <w:pPr>
        <w:pStyle w:val="Heading1"/>
        <w:spacing w:after="160" w:before="240"/>
      </w:pPr>
      <w:r>
        <w:rPr>
          <w:rFonts w:ascii="Arial" w:cs="Arial" w:eastAsia="Arial" w:hAnsi="Arial"/>
          <w:b/>
          <w:bCs/>
          <w:color w:val="1B3A6B"/>
          <w:sz w:val="36"/>
          <w:szCs w:val="36"/>
        </w:rPr>
        <w:t xml:space="preserve">About The Hoffman Lenses Initiative</w:t>
      </w:r>
    </w:p>
    <w:p>
      <w:pPr>
        <w:spacing w:after="140" w:before="100"/>
        <w:jc w:val="left"/>
      </w:pPr>
      <w:r>
        <w:rPr>
          <w:rFonts w:ascii="Arial" w:cs="Arial" w:eastAsia="Arial" w:hAnsi="Arial"/>
          <w:b w:val="false"/>
          <w:bCs w:val="false"/>
          <w:i w:val="false"/>
          <w:iCs w:val="false"/>
          <w:color w:val="1A1A1A"/>
          <w:sz w:val="22"/>
          <w:szCs w:val="22"/>
        </w:rPr>
        <w:t xml:space="preserve">An independent, non-partisan, non-commercial project dedicated to making Behavioral Manipulation Systems visible, legally accountable, and ultimately obsolete. Not funded by platforms, advertisers, or political organizations.</w:t>
      </w:r>
    </w:p>
    <w:p>
      <w:pPr>
        <w:spacing w:after="0" w:before="80"/>
      </w:pPr>
      <w:r>
        <w:t xml:space="preserve"/>
      </w:r>
    </w:p>
    <w:p>
      <w:pPr>
        <w:spacing w:after="140" w:before="100"/>
        <w:jc w:val="left"/>
      </w:pPr>
      <w:r>
        <w:rPr>
          <w:rFonts w:ascii="Arial" w:cs="Arial" w:eastAsia="Arial" w:hAnsi="Arial"/>
          <w:b w:val="false"/>
          <w:bCs w:val="false"/>
          <w:i w:val="false"/>
          <w:iCs w:val="false"/>
          <w:color w:val="1A1A1A"/>
          <w:sz w:val="22"/>
          <w:szCs w:val="22"/>
        </w:rPr>
        <w:t xml:space="preserve">Website: hoffmanlenses.org</w:t>
      </w:r>
    </w:p>
    <w:p>
      <w:pPr>
        <w:spacing w:after="140" w:before="100"/>
        <w:jc w:val="left"/>
      </w:pPr>
      <w:r>
        <w:rPr>
          <w:rFonts w:ascii="Arial" w:cs="Arial" w:eastAsia="Arial" w:hAnsi="Arial"/>
          <w:b w:val="false"/>
          <w:bCs w:val="false"/>
          <w:i w:val="false"/>
          <w:iCs w:val="false"/>
          <w:color w:val="1A1A1A"/>
          <w:sz w:val="22"/>
          <w:szCs w:val="22"/>
        </w:rPr>
        <w:t xml:space="preserve">GitHub: github.com/HoffmanLensesInitiative</w:t>
      </w:r>
    </w:p>
    <w:p>
      <w:pPr>
        <w:spacing w:after="140" w:before="100"/>
        <w:jc w:val="left"/>
      </w:pPr>
      <w:r>
        <w:rPr>
          <w:rFonts w:ascii="Arial" w:cs="Arial" w:eastAsia="Arial" w:hAnsi="Arial"/>
          <w:b w:val="false"/>
          <w:bCs w:val="false"/>
          <w:i w:val="false"/>
          <w:iCs w:val="false"/>
          <w:color w:val="1A1A1A"/>
          <w:sz w:val="22"/>
          <w:szCs w:val="22"/>
        </w:rPr>
        <w:t xml:space="preserve">Press: press@hoffmanlenses.org</w:t>
      </w:r>
    </w:p>
    <w:p>
      <w:pPr>
        <w:spacing w:after="0" w:before="120"/>
      </w:pPr>
      <w:r>
        <w:t xml:space="preserve"/>
      </w:r>
    </w:p>
    <w:p>
      <w:pPr>
        <w:spacing w:after="140" w:before="100"/>
        <w:jc w:val="left"/>
      </w:pPr>
      <w:r>
        <w:rPr>
          <w:rFonts w:ascii="Arial" w:cs="Arial" w:eastAsia="Arial" w:hAnsi="Arial"/>
          <w:b w:val="false"/>
          <w:bCs w:val="false"/>
          <w:i/>
          <w:iCs/>
          <w:color w:val="888888"/>
          <w:sz w:val="22"/>
          <w:szCs w:val="22"/>
        </w:rPr>
        <w:t xml:space="preserve">© 2026 The Hoffman Lenses Initiative. Released under Creative Commons CC BY 4.0. This document may be reproduced, distributed, translated, and submitted to legislative bodies without restriction, provided attribution is maintained.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FA3" w:sz="4" w:space="1"/>
      </w:pBdr>
      <w:spacing w:before="120"/>
      <w:jc w:val="center"/>
    </w:pPr>
    <w:r>
      <w:rPr>
        <w:rFonts w:ascii="Arial" w:cs="Arial" w:eastAsia="Arial" w:hAnsi="Arial"/>
        <w:color w:val="888888"/>
        <w:sz w:val="18"/>
        <w:szCs w:val="18"/>
      </w:rPr>
      <w:t xml:space="preserve">hoffmanlenses.org  ·  CC BY 4.0  ·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FA3" w:sz="4" w:space="1"/>
      </w:pBdr>
      <w:spacing w:after="120"/>
    </w:pPr>
    <w:r>
      <w:rPr>
        <w:rFonts w:ascii="Arial" w:cs="Arial" w:eastAsia="Arial" w:hAnsi="Arial"/>
        <w:color w:val="888888"/>
        <w:sz w:val="18"/>
        <w:szCs w:val="18"/>
      </w:rPr>
      <w:t xml:space="preserve">THE HOFFMAN LENSES INITIATIVE  ·  The Algorithm and the Child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1A1A1A"/>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B3A6B"/>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2E5FA3"/>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B3A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2026-04-08T10:08:35.997Z</dcterms:created>
  <dcterms:modified xsi:type="dcterms:W3CDTF">2026-04-08T10:08:35.998Z</dcterms:modified>
</cp:coreProperties>
</file>

<file path=docProps/custom.xml><?xml version="1.0" encoding="utf-8"?>
<Properties xmlns="http://schemas.openxmlformats.org/officeDocument/2006/custom-properties" xmlns:vt="http://schemas.openxmlformats.org/officeDocument/2006/docPropsVTypes"/>
</file>